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6" w:type="dxa"/>
        <w:tblInd w:w="108" w:type="dxa"/>
        <w:tblLook w:val="04A0" w:firstRow="1" w:lastRow="0" w:firstColumn="1" w:lastColumn="0" w:noHBand="0" w:noVBand="1"/>
      </w:tblPr>
      <w:tblGrid>
        <w:gridCol w:w="3369"/>
        <w:gridCol w:w="5917"/>
      </w:tblGrid>
      <w:tr w:rsidR="006F37D0" w:rsidRPr="003739F8" w14:paraId="7D28AFDD" w14:textId="77777777" w:rsidTr="00F26854">
        <w:trPr>
          <w:trHeight w:val="1757"/>
        </w:trPr>
        <w:tc>
          <w:tcPr>
            <w:tcW w:w="3369" w:type="dxa"/>
            <w:tcBorders>
              <w:left w:val="single" w:sz="48" w:space="0" w:color="BC9E6E"/>
            </w:tcBorders>
            <w:vAlign w:val="center"/>
          </w:tcPr>
          <w:p w14:paraId="739D73C7" w14:textId="77777777" w:rsidR="00C711D6" w:rsidRPr="00766A4F" w:rsidRDefault="002E3886" w:rsidP="00B220DD">
            <w:pPr>
              <w:tabs>
                <w:tab w:val="left" w:pos="4680"/>
                <w:tab w:val="left" w:pos="8100"/>
              </w:tabs>
              <w:spacing w:before="60"/>
              <w:ind w:right="142" w:firstLine="142"/>
              <w:rPr>
                <w:i/>
                <w:noProof/>
                <w:szCs w:val="22"/>
                <w:lang w:eastAsia="en-GB"/>
              </w:rPr>
            </w:pPr>
            <w:r>
              <w:rPr>
                <w:i/>
                <w:noProof/>
                <w:szCs w:val="22"/>
                <w:lang w:val="el-GR"/>
              </w:rPr>
              <w:drawing>
                <wp:inline distT="0" distB="0" distL="0" distR="0" wp14:anchorId="261B2454" wp14:editId="7A4D5FB6">
                  <wp:extent cx="1620520" cy="874395"/>
                  <wp:effectExtent l="0" t="0" r="0" b="0"/>
                  <wp:docPr id="3" name="Picture 1" descr="LOGO TE - small 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E - small E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0520" cy="874395"/>
                          </a:xfrm>
                          <a:prstGeom prst="rect">
                            <a:avLst/>
                          </a:prstGeom>
                          <a:noFill/>
                          <a:ln>
                            <a:noFill/>
                          </a:ln>
                        </pic:spPr>
                      </pic:pic>
                    </a:graphicData>
                  </a:graphic>
                </wp:inline>
              </w:drawing>
            </w:r>
          </w:p>
        </w:tc>
        <w:tc>
          <w:tcPr>
            <w:tcW w:w="5917" w:type="dxa"/>
          </w:tcPr>
          <w:p w14:paraId="7A6F94B2" w14:textId="77777777" w:rsidR="00375D2B" w:rsidRDefault="00375D2B" w:rsidP="00375D2B">
            <w:pPr>
              <w:pStyle w:val="Heading1"/>
              <w:jc w:val="right"/>
              <w:rPr>
                <w:b/>
                <w:i w:val="0"/>
                <w:noProof/>
                <w:sz w:val="32"/>
                <w:szCs w:val="22"/>
                <w:u w:val="none"/>
                <w:lang w:eastAsia="en-GB"/>
              </w:rPr>
            </w:pPr>
          </w:p>
          <w:p w14:paraId="25A8772A" w14:textId="470169A2" w:rsidR="00375D2B" w:rsidRPr="005F7BE2" w:rsidRDefault="005F7BE2" w:rsidP="00375D2B">
            <w:pPr>
              <w:pStyle w:val="Heading1"/>
              <w:jc w:val="right"/>
              <w:rPr>
                <w:b/>
                <w:i w:val="0"/>
                <w:noProof/>
                <w:color w:val="00205B"/>
                <w:sz w:val="28"/>
                <w:szCs w:val="22"/>
                <w:u w:val="none"/>
                <w:lang w:eastAsia="en-GB"/>
              </w:rPr>
            </w:pPr>
            <w:r>
              <w:rPr>
                <w:b/>
                <w:i w:val="0"/>
                <w:noProof/>
                <w:color w:val="00205B"/>
                <w:sz w:val="28"/>
                <w:szCs w:val="22"/>
                <w:u w:val="none"/>
                <w:lang w:eastAsia="en-GB"/>
              </w:rPr>
              <w:t>ΟΜΙΛΙΑ</w:t>
            </w:r>
          </w:p>
          <w:p w14:paraId="66B4F440" w14:textId="77777777" w:rsidR="000D3A15" w:rsidRDefault="000D3A15" w:rsidP="0068536A">
            <w:pPr>
              <w:pStyle w:val="Heading1"/>
              <w:ind w:firstLine="0"/>
              <w:jc w:val="right"/>
              <w:rPr>
                <w:i w:val="0"/>
                <w:noProof/>
                <w:color w:val="00205B"/>
                <w:szCs w:val="22"/>
                <w:u w:val="none"/>
                <w:lang w:eastAsia="en-GB"/>
              </w:rPr>
            </w:pPr>
          </w:p>
          <w:p w14:paraId="4AF03B88" w14:textId="1E511D28" w:rsidR="00C711D6" w:rsidRPr="003D6F4B" w:rsidRDefault="000E347F" w:rsidP="0068536A">
            <w:pPr>
              <w:pStyle w:val="Heading1"/>
              <w:ind w:firstLine="0"/>
              <w:jc w:val="right"/>
              <w:rPr>
                <w:i w:val="0"/>
                <w:noProof/>
                <w:szCs w:val="22"/>
                <w:u w:val="none"/>
                <w:lang w:eastAsia="en-GB"/>
              </w:rPr>
            </w:pPr>
            <w:r>
              <w:rPr>
                <w:i w:val="0"/>
                <w:noProof/>
                <w:color w:val="00205B"/>
                <w:szCs w:val="22"/>
                <w:u w:val="none"/>
                <w:lang w:eastAsia="en-GB"/>
              </w:rPr>
              <w:t>Ρουμανία</w:t>
            </w:r>
            <w:r w:rsidR="00375D2B" w:rsidRPr="006932B9">
              <w:rPr>
                <w:i w:val="0"/>
                <w:noProof/>
                <w:color w:val="00205B"/>
                <w:szCs w:val="22"/>
                <w:u w:val="none"/>
                <w:lang w:eastAsia="en-GB"/>
              </w:rPr>
              <w:t xml:space="preserve">, </w:t>
            </w:r>
            <w:r>
              <w:rPr>
                <w:i w:val="0"/>
                <w:noProof/>
                <w:color w:val="00205B"/>
                <w:szCs w:val="22"/>
                <w:u w:val="none"/>
                <w:lang w:eastAsia="en-GB"/>
              </w:rPr>
              <w:t>30</w:t>
            </w:r>
            <w:r w:rsidR="00375D2B" w:rsidRPr="006932B9">
              <w:rPr>
                <w:i w:val="0"/>
                <w:noProof/>
                <w:color w:val="00205B"/>
                <w:szCs w:val="22"/>
                <w:u w:val="none"/>
                <w:lang w:eastAsia="en-GB"/>
              </w:rPr>
              <w:t xml:space="preserve"> </w:t>
            </w:r>
            <w:r w:rsidR="0053006D">
              <w:rPr>
                <w:i w:val="0"/>
                <w:noProof/>
                <w:color w:val="00205B"/>
                <w:szCs w:val="22"/>
                <w:u w:val="none"/>
                <w:lang w:eastAsia="en-GB"/>
              </w:rPr>
              <w:t>Μαρτίου</w:t>
            </w:r>
            <w:r w:rsidR="00375D2B" w:rsidRPr="006932B9">
              <w:rPr>
                <w:i w:val="0"/>
                <w:noProof/>
                <w:color w:val="00205B"/>
                <w:szCs w:val="22"/>
                <w:u w:val="none"/>
                <w:lang w:eastAsia="en-GB"/>
              </w:rPr>
              <w:t xml:space="preserve"> 202</w:t>
            </w:r>
            <w:r w:rsidR="003D6F4B">
              <w:rPr>
                <w:i w:val="0"/>
                <w:noProof/>
                <w:color w:val="00205B"/>
                <w:szCs w:val="22"/>
                <w:u w:val="none"/>
                <w:lang w:eastAsia="en-GB"/>
              </w:rPr>
              <w:t>6</w:t>
            </w:r>
          </w:p>
        </w:tc>
      </w:tr>
    </w:tbl>
    <w:p w14:paraId="1CEF9ADD" w14:textId="77777777" w:rsidR="00C711D6" w:rsidRPr="0068536A" w:rsidRDefault="00C711D6" w:rsidP="00C711D6">
      <w:pPr>
        <w:pStyle w:val="Heading1"/>
        <w:ind w:firstLine="0"/>
        <w:jc w:val="center"/>
        <w:rPr>
          <w:i w:val="0"/>
          <w:noProof/>
          <w:szCs w:val="22"/>
          <w:u w:val="none"/>
          <w:lang w:eastAsia="en-GB"/>
        </w:rPr>
      </w:pPr>
    </w:p>
    <w:p w14:paraId="2F14C137" w14:textId="77777777" w:rsidR="00FF5D14" w:rsidRPr="0068536A" w:rsidRDefault="00FF5D14" w:rsidP="00FF5D14">
      <w:pPr>
        <w:rPr>
          <w:lang w:val="el-GR" w:eastAsia="en-GB"/>
        </w:rPr>
      </w:pPr>
    </w:p>
    <w:p w14:paraId="64CB2813" w14:textId="77777777" w:rsidR="000E347F" w:rsidRDefault="000E347F" w:rsidP="000E347F">
      <w:pPr>
        <w:spacing w:before="120" w:line="360" w:lineRule="auto"/>
        <w:rPr>
          <w:b/>
          <w:color w:val="00205B"/>
          <w:sz w:val="32"/>
          <w:szCs w:val="32"/>
          <w:lang w:val="el-GR"/>
        </w:rPr>
      </w:pPr>
      <w:r>
        <w:rPr>
          <w:b/>
          <w:color w:val="00205B"/>
          <w:sz w:val="32"/>
          <w:szCs w:val="32"/>
          <w:lang w:val="el-GR"/>
        </w:rPr>
        <w:t>«</w:t>
      </w:r>
      <w:r w:rsidRPr="000E347F">
        <w:rPr>
          <w:b/>
          <w:color w:val="00205B"/>
          <w:sz w:val="32"/>
          <w:szCs w:val="32"/>
          <w:lang w:val="el-GR"/>
        </w:rPr>
        <w:t>Θέματα νομισματικής και γενικότερης πολιτικής στη ζώνη του ευρώ στο πλαίσιο της τρέχουσας διαταραχής των τιμών της ενέργειας</w:t>
      </w:r>
      <w:r>
        <w:rPr>
          <w:b/>
          <w:color w:val="00205B"/>
          <w:sz w:val="32"/>
          <w:szCs w:val="32"/>
          <w:lang w:val="el-GR"/>
        </w:rPr>
        <w:t>»</w:t>
      </w:r>
    </w:p>
    <w:p w14:paraId="1134C765" w14:textId="60CD4C20" w:rsidR="003D6F4B" w:rsidRPr="003D6F4B" w:rsidRDefault="000E347F" w:rsidP="000E347F">
      <w:pPr>
        <w:spacing w:before="120" w:line="360" w:lineRule="auto"/>
        <w:rPr>
          <w:lang w:val="el-GR"/>
        </w:rPr>
      </w:pPr>
      <w:r w:rsidRPr="000E347F">
        <w:rPr>
          <w:b/>
          <w:color w:val="00205B"/>
          <w:sz w:val="28"/>
          <w:szCs w:val="28"/>
          <w:lang w:val="el-GR"/>
        </w:rPr>
        <w:t xml:space="preserve">The </w:t>
      </w:r>
      <w:proofErr w:type="spellStart"/>
      <w:r w:rsidRPr="000E347F">
        <w:rPr>
          <w:b/>
          <w:color w:val="00205B"/>
          <w:sz w:val="28"/>
          <w:szCs w:val="28"/>
          <w:lang w:val="el-GR"/>
        </w:rPr>
        <w:t>Economist</w:t>
      </w:r>
      <w:proofErr w:type="spellEnd"/>
      <w:r w:rsidRPr="000E347F">
        <w:rPr>
          <w:b/>
          <w:color w:val="00205B"/>
          <w:sz w:val="28"/>
          <w:szCs w:val="28"/>
          <w:lang w:val="el-GR"/>
        </w:rPr>
        <w:t xml:space="preserve"> </w:t>
      </w:r>
      <w:proofErr w:type="spellStart"/>
      <w:r w:rsidRPr="000E347F">
        <w:rPr>
          <w:b/>
          <w:color w:val="00205B"/>
          <w:sz w:val="28"/>
          <w:szCs w:val="28"/>
          <w:lang w:val="el-GR"/>
        </w:rPr>
        <w:t>Romania</w:t>
      </w:r>
      <w:proofErr w:type="spellEnd"/>
      <w:r w:rsidRPr="000E347F">
        <w:rPr>
          <w:b/>
          <w:color w:val="00205B"/>
          <w:sz w:val="28"/>
          <w:szCs w:val="28"/>
          <w:lang w:val="el-GR"/>
        </w:rPr>
        <w:t xml:space="preserve"> </w:t>
      </w:r>
      <w:proofErr w:type="spellStart"/>
      <w:r w:rsidRPr="000E347F">
        <w:rPr>
          <w:b/>
          <w:color w:val="00205B"/>
          <w:sz w:val="28"/>
          <w:szCs w:val="28"/>
          <w:lang w:val="el-GR"/>
        </w:rPr>
        <w:t>Government</w:t>
      </w:r>
      <w:proofErr w:type="spellEnd"/>
      <w:r w:rsidRPr="000E347F">
        <w:rPr>
          <w:b/>
          <w:color w:val="00205B"/>
          <w:sz w:val="28"/>
          <w:szCs w:val="28"/>
          <w:lang w:val="el-GR"/>
        </w:rPr>
        <w:t xml:space="preserve"> </w:t>
      </w:r>
      <w:proofErr w:type="spellStart"/>
      <w:r w:rsidRPr="000E347F">
        <w:rPr>
          <w:b/>
          <w:color w:val="00205B"/>
          <w:sz w:val="28"/>
          <w:szCs w:val="28"/>
          <w:lang w:val="el-GR"/>
        </w:rPr>
        <w:t>Roundtable</w:t>
      </w:r>
      <w:proofErr w:type="spellEnd"/>
      <w:r w:rsidR="00532D50">
        <w:rPr>
          <w:b/>
          <w:color w:val="00205B"/>
          <w:sz w:val="32"/>
          <w:szCs w:val="32"/>
          <w:lang w:val="el-GR"/>
        </w:rPr>
        <w:br/>
      </w:r>
      <w:r w:rsidR="003D6F4B" w:rsidRPr="00532D50">
        <w:rPr>
          <w:b/>
          <w:color w:val="00205B"/>
          <w:sz w:val="28"/>
          <w:szCs w:val="28"/>
          <w:lang w:val="el-GR"/>
        </w:rPr>
        <w:t xml:space="preserve">Ομιλία του Διοικητή της Τράπεζας της Ελλάδος Γιάννη Στουρνάρα </w:t>
      </w:r>
    </w:p>
    <w:p w14:paraId="412D58D1" w14:textId="77777777" w:rsidR="0053006D" w:rsidRPr="000E347F" w:rsidRDefault="0053006D" w:rsidP="000E347F">
      <w:pPr>
        <w:spacing w:before="120" w:line="360" w:lineRule="auto"/>
        <w:jc w:val="both"/>
        <w:rPr>
          <w:bCs/>
          <w:color w:val="auto"/>
          <w:sz w:val="22"/>
          <w:szCs w:val="22"/>
          <w:lang w:val="el-GR"/>
        </w:rPr>
      </w:pPr>
    </w:p>
    <w:p w14:paraId="2AE4CD2E" w14:textId="77777777" w:rsidR="000E347F" w:rsidRPr="000E347F" w:rsidRDefault="000E347F" w:rsidP="000E347F">
      <w:pPr>
        <w:pStyle w:val="P68B1DB1-Normal2"/>
        <w:spacing w:before="120" w:line="360" w:lineRule="auto"/>
        <w:jc w:val="both"/>
        <w:rPr>
          <w:rFonts w:ascii="Arial" w:hAnsi="Arial" w:cs="Arial"/>
          <w:iCs/>
          <w:sz w:val="22"/>
          <w:szCs w:val="22"/>
        </w:rPr>
      </w:pPr>
      <w:r w:rsidRPr="000E347F">
        <w:rPr>
          <w:rFonts w:ascii="Arial" w:hAnsi="Arial" w:cs="Arial"/>
          <w:sz w:val="22"/>
          <w:szCs w:val="22"/>
          <w:lang w:val="el-GR"/>
        </w:rPr>
        <w:t>Χαίρομαι που έχω την ευκαιρία</w:t>
      </w:r>
      <w:r w:rsidRPr="000E347F">
        <w:rPr>
          <w:rFonts w:ascii="Arial" w:hAnsi="Arial" w:cs="Arial"/>
          <w:sz w:val="22"/>
          <w:szCs w:val="22"/>
        </w:rPr>
        <w:t xml:space="preserve"> να σας μιλήσω σήμερα για ένα </w:t>
      </w:r>
      <w:r w:rsidRPr="000E347F">
        <w:rPr>
          <w:rFonts w:ascii="Arial" w:hAnsi="Arial" w:cs="Arial"/>
          <w:sz w:val="22"/>
          <w:szCs w:val="22"/>
          <w:lang w:val="el-GR"/>
        </w:rPr>
        <w:t>φλέγον θέμα</w:t>
      </w:r>
      <w:r w:rsidRPr="000E347F">
        <w:rPr>
          <w:rFonts w:ascii="Arial" w:hAnsi="Arial" w:cs="Arial"/>
          <w:sz w:val="22"/>
          <w:szCs w:val="22"/>
        </w:rPr>
        <w:t xml:space="preserve">: τις συνέπειες που θα έχει η </w:t>
      </w:r>
      <w:r w:rsidRPr="000E347F">
        <w:rPr>
          <w:rFonts w:ascii="Arial" w:hAnsi="Arial" w:cs="Arial"/>
          <w:sz w:val="22"/>
          <w:szCs w:val="22"/>
          <w:lang w:val="el-GR"/>
        </w:rPr>
        <w:t>τρέχουσα</w:t>
      </w:r>
      <w:r w:rsidRPr="000E347F">
        <w:rPr>
          <w:rFonts w:ascii="Arial" w:hAnsi="Arial" w:cs="Arial"/>
          <w:sz w:val="22"/>
          <w:szCs w:val="22"/>
        </w:rPr>
        <w:t xml:space="preserve"> διαταραχή των τιμών της ενέργειας </w:t>
      </w:r>
      <w:r w:rsidRPr="000E347F">
        <w:rPr>
          <w:rFonts w:ascii="Arial" w:hAnsi="Arial" w:cs="Arial"/>
          <w:sz w:val="22"/>
          <w:szCs w:val="22"/>
          <w:lang w:val="el-GR"/>
        </w:rPr>
        <w:t>σ</w:t>
      </w:r>
      <w:r w:rsidRPr="000E347F">
        <w:rPr>
          <w:rFonts w:ascii="Arial" w:hAnsi="Arial" w:cs="Arial"/>
          <w:sz w:val="22"/>
          <w:szCs w:val="22"/>
        </w:rPr>
        <w:t>τ</w:t>
      </w:r>
      <w:r w:rsidRPr="000E347F">
        <w:rPr>
          <w:rFonts w:ascii="Arial" w:hAnsi="Arial" w:cs="Arial"/>
          <w:sz w:val="22"/>
          <w:szCs w:val="22"/>
          <w:lang w:val="el-GR"/>
        </w:rPr>
        <w:t>α μακροοικονομικά μεγέθη</w:t>
      </w:r>
      <w:r w:rsidRPr="000E347F">
        <w:rPr>
          <w:rFonts w:ascii="Arial" w:hAnsi="Arial" w:cs="Arial"/>
          <w:sz w:val="22"/>
          <w:szCs w:val="22"/>
        </w:rPr>
        <w:t xml:space="preserve"> και τη νομισματική πολιτική. Θα ξεκινήσω περιγράφοντας </w:t>
      </w:r>
      <w:r w:rsidRPr="000E347F">
        <w:rPr>
          <w:rFonts w:ascii="Arial" w:hAnsi="Arial" w:cs="Arial"/>
          <w:sz w:val="22"/>
          <w:szCs w:val="22"/>
          <w:lang w:val="el-GR"/>
        </w:rPr>
        <w:t>τους κύριους προβληματισμούς από τη σκοπιά της</w:t>
      </w:r>
      <w:r w:rsidRPr="000E347F">
        <w:rPr>
          <w:rFonts w:ascii="Arial" w:hAnsi="Arial" w:cs="Arial"/>
          <w:sz w:val="22"/>
          <w:szCs w:val="22"/>
        </w:rPr>
        <w:t xml:space="preserve"> νομισματικής πολιτικής τη</w:t>
      </w:r>
      <w:r w:rsidRPr="000E347F">
        <w:rPr>
          <w:rFonts w:ascii="Arial" w:hAnsi="Arial" w:cs="Arial"/>
          <w:sz w:val="22"/>
          <w:szCs w:val="22"/>
          <w:lang w:val="el-GR"/>
        </w:rPr>
        <w:t>ς</w:t>
      </w:r>
      <w:r w:rsidRPr="000E347F">
        <w:rPr>
          <w:rFonts w:ascii="Arial" w:hAnsi="Arial" w:cs="Arial"/>
          <w:sz w:val="22"/>
          <w:szCs w:val="22"/>
        </w:rPr>
        <w:t xml:space="preserve"> ζώνη</w:t>
      </w:r>
      <w:r w:rsidRPr="000E347F">
        <w:rPr>
          <w:rFonts w:ascii="Arial" w:hAnsi="Arial" w:cs="Arial"/>
          <w:sz w:val="22"/>
          <w:szCs w:val="22"/>
          <w:lang w:val="el-GR"/>
        </w:rPr>
        <w:t>ς</w:t>
      </w:r>
      <w:r w:rsidRPr="000E347F">
        <w:rPr>
          <w:rFonts w:ascii="Arial" w:hAnsi="Arial" w:cs="Arial"/>
          <w:sz w:val="22"/>
          <w:szCs w:val="22"/>
        </w:rPr>
        <w:t xml:space="preserve"> του ευρώ και στη συνέχεια θα αναφερθώ σ</w:t>
      </w:r>
      <w:r w:rsidRPr="000E347F">
        <w:rPr>
          <w:rFonts w:ascii="Arial" w:hAnsi="Arial" w:cs="Arial"/>
          <w:sz w:val="22"/>
          <w:szCs w:val="22"/>
          <w:lang w:val="el-GR"/>
        </w:rPr>
        <w:t xml:space="preserve">το γενικότερο πλαίσιο προτεραιοτήτων της </w:t>
      </w:r>
      <w:r w:rsidRPr="000E347F">
        <w:rPr>
          <w:rFonts w:ascii="Arial" w:hAnsi="Arial" w:cs="Arial"/>
          <w:sz w:val="22"/>
          <w:szCs w:val="22"/>
        </w:rPr>
        <w:t xml:space="preserve">οικονομικής πολιτικής </w:t>
      </w:r>
      <w:r w:rsidRPr="000E347F">
        <w:rPr>
          <w:rFonts w:ascii="Arial" w:hAnsi="Arial" w:cs="Arial"/>
          <w:sz w:val="22"/>
          <w:szCs w:val="22"/>
          <w:lang w:val="el-GR"/>
        </w:rPr>
        <w:t xml:space="preserve">στην </w:t>
      </w:r>
      <w:r w:rsidRPr="000E347F">
        <w:rPr>
          <w:rFonts w:ascii="Arial" w:hAnsi="Arial" w:cs="Arial"/>
          <w:sz w:val="22"/>
          <w:szCs w:val="22"/>
        </w:rPr>
        <w:t xml:space="preserve">ΕΕ, </w:t>
      </w:r>
      <w:r w:rsidRPr="000E347F">
        <w:rPr>
          <w:rFonts w:ascii="Arial" w:hAnsi="Arial" w:cs="Arial"/>
          <w:sz w:val="22"/>
          <w:szCs w:val="22"/>
          <w:lang w:val="el-GR"/>
        </w:rPr>
        <w:t>το οποίο</w:t>
      </w:r>
      <w:r w:rsidRPr="000E347F">
        <w:rPr>
          <w:rFonts w:ascii="Arial" w:hAnsi="Arial" w:cs="Arial"/>
          <w:sz w:val="22"/>
          <w:szCs w:val="22"/>
        </w:rPr>
        <w:t xml:space="preserve">, όπως θα υποστηρίξω, </w:t>
      </w:r>
      <w:r w:rsidRPr="000E347F">
        <w:rPr>
          <w:rFonts w:ascii="Arial" w:hAnsi="Arial" w:cs="Arial"/>
          <w:sz w:val="22"/>
          <w:szCs w:val="22"/>
          <w:lang w:val="el-GR"/>
        </w:rPr>
        <w:t>έχει</w:t>
      </w:r>
      <w:r w:rsidRPr="000E347F">
        <w:rPr>
          <w:rFonts w:ascii="Arial" w:hAnsi="Arial" w:cs="Arial"/>
          <w:sz w:val="22"/>
          <w:szCs w:val="22"/>
        </w:rPr>
        <w:t xml:space="preserve"> άμεσο αντίκτυπο στην αποτελεσματικότητα της νομισματικής πολιτικής.</w:t>
      </w:r>
    </w:p>
    <w:p w14:paraId="26A0189B" w14:textId="77777777" w:rsidR="000E347F" w:rsidRPr="000E347F" w:rsidRDefault="000E347F" w:rsidP="000E347F">
      <w:pPr>
        <w:spacing w:before="120" w:line="360" w:lineRule="auto"/>
        <w:jc w:val="both"/>
        <w:rPr>
          <w:iCs/>
          <w:color w:val="auto"/>
          <w:sz w:val="22"/>
          <w:szCs w:val="22"/>
          <w:lang w:val="el-GR"/>
        </w:rPr>
      </w:pPr>
    </w:p>
    <w:p w14:paraId="66DCC34E" w14:textId="77777777" w:rsidR="000E347F" w:rsidRPr="000E347F" w:rsidRDefault="000E347F" w:rsidP="000E347F">
      <w:pPr>
        <w:pStyle w:val="P68B1DB1-Normal3"/>
        <w:spacing w:before="120" w:line="360" w:lineRule="auto"/>
        <w:jc w:val="both"/>
        <w:rPr>
          <w:rFonts w:ascii="Arial" w:hAnsi="Arial" w:cs="Arial"/>
          <w:bCs/>
          <w:sz w:val="22"/>
          <w:szCs w:val="22"/>
        </w:rPr>
      </w:pPr>
      <w:r w:rsidRPr="000E347F">
        <w:rPr>
          <w:rFonts w:ascii="Arial" w:hAnsi="Arial" w:cs="Arial"/>
          <w:sz w:val="22"/>
          <w:szCs w:val="22"/>
        </w:rPr>
        <w:t xml:space="preserve">1. </w:t>
      </w:r>
      <w:r w:rsidRPr="000E347F">
        <w:rPr>
          <w:rFonts w:ascii="Arial" w:hAnsi="Arial" w:cs="Arial"/>
          <w:sz w:val="22"/>
          <w:szCs w:val="22"/>
          <w:lang w:val="el-GR"/>
        </w:rPr>
        <w:t xml:space="preserve">Θέματα νομισματικής πολιτικής του Ευρωσυστήματος </w:t>
      </w:r>
    </w:p>
    <w:p w14:paraId="3E3D6EBD" w14:textId="77777777" w:rsidR="000E347F" w:rsidRPr="000E347F" w:rsidRDefault="000E347F" w:rsidP="000E347F">
      <w:pPr>
        <w:pStyle w:val="P68B1DB1-Normal2"/>
        <w:spacing w:before="120" w:line="360" w:lineRule="auto"/>
        <w:jc w:val="both"/>
        <w:rPr>
          <w:rFonts w:ascii="Arial" w:hAnsi="Arial" w:cs="Arial"/>
          <w:iCs/>
          <w:sz w:val="22"/>
          <w:szCs w:val="22"/>
        </w:rPr>
      </w:pPr>
      <w:r w:rsidRPr="000E347F">
        <w:rPr>
          <w:rFonts w:ascii="Arial" w:hAnsi="Arial" w:cs="Arial"/>
          <w:sz w:val="22"/>
          <w:szCs w:val="22"/>
        </w:rPr>
        <w:t xml:space="preserve">Ο πόλεμος στη Μέση Ανατολή προκάλεσε </w:t>
      </w:r>
      <w:r w:rsidRPr="000E347F">
        <w:rPr>
          <w:rFonts w:ascii="Arial" w:hAnsi="Arial" w:cs="Arial"/>
          <w:sz w:val="22"/>
          <w:szCs w:val="22"/>
          <w:lang w:val="el-GR"/>
        </w:rPr>
        <w:t>μια νέα δυσμενή εξωτερική διαταραχή της προσφοράς για την</w:t>
      </w:r>
      <w:r w:rsidRPr="000E347F">
        <w:rPr>
          <w:rFonts w:ascii="Arial" w:hAnsi="Arial" w:cs="Arial"/>
          <w:sz w:val="22"/>
          <w:szCs w:val="22"/>
        </w:rPr>
        <w:t xml:space="preserve"> Ευρώπη μέσω διαφόρων διαύλων, </w:t>
      </w:r>
      <w:r w:rsidRPr="000E347F">
        <w:rPr>
          <w:rFonts w:ascii="Arial" w:hAnsi="Arial" w:cs="Arial"/>
          <w:sz w:val="22"/>
          <w:szCs w:val="22"/>
          <w:lang w:val="el-GR"/>
        </w:rPr>
        <w:t>και</w:t>
      </w:r>
      <w:r w:rsidRPr="000E347F">
        <w:rPr>
          <w:rFonts w:ascii="Arial" w:hAnsi="Arial" w:cs="Arial"/>
          <w:sz w:val="22"/>
          <w:szCs w:val="22"/>
        </w:rPr>
        <w:t xml:space="preserve"> κυρίως </w:t>
      </w:r>
      <w:r w:rsidRPr="000E347F">
        <w:rPr>
          <w:rFonts w:ascii="Arial" w:hAnsi="Arial" w:cs="Arial"/>
          <w:sz w:val="22"/>
          <w:szCs w:val="22"/>
          <w:lang w:val="el-GR"/>
        </w:rPr>
        <w:t xml:space="preserve">μέσω </w:t>
      </w:r>
      <w:r w:rsidRPr="000E347F">
        <w:rPr>
          <w:rFonts w:ascii="Arial" w:hAnsi="Arial" w:cs="Arial"/>
          <w:sz w:val="22"/>
          <w:szCs w:val="22"/>
        </w:rPr>
        <w:t xml:space="preserve">των </w:t>
      </w:r>
      <w:r w:rsidRPr="000E347F">
        <w:rPr>
          <w:rFonts w:ascii="Arial" w:hAnsi="Arial" w:cs="Arial"/>
          <w:sz w:val="22"/>
          <w:szCs w:val="22"/>
          <w:lang w:val="el-GR"/>
        </w:rPr>
        <w:t>επιπτώσεών</w:t>
      </w:r>
      <w:r w:rsidRPr="000E347F">
        <w:rPr>
          <w:rFonts w:ascii="Arial" w:hAnsi="Arial" w:cs="Arial"/>
          <w:sz w:val="22"/>
          <w:szCs w:val="22"/>
        </w:rPr>
        <w:t xml:space="preserve"> </w:t>
      </w:r>
      <w:r w:rsidRPr="000E347F">
        <w:rPr>
          <w:rFonts w:ascii="Arial" w:hAnsi="Arial" w:cs="Arial"/>
          <w:sz w:val="22"/>
          <w:szCs w:val="22"/>
          <w:lang w:val="el-GR"/>
        </w:rPr>
        <w:t xml:space="preserve">του </w:t>
      </w:r>
      <w:r w:rsidRPr="000E347F">
        <w:rPr>
          <w:rFonts w:ascii="Arial" w:hAnsi="Arial" w:cs="Arial"/>
          <w:sz w:val="22"/>
          <w:szCs w:val="22"/>
        </w:rPr>
        <w:t>στις αγορές ενέργειας. Ως καθαρός εισαγωγέας ενέργειας, η ζώνη του ευρώ αντιμετωπίζει, για άλλη μ</w:t>
      </w:r>
      <w:r w:rsidRPr="000E347F">
        <w:rPr>
          <w:rFonts w:ascii="Arial" w:hAnsi="Arial" w:cs="Arial"/>
          <w:sz w:val="22"/>
          <w:szCs w:val="22"/>
          <w:lang w:val="el-GR"/>
        </w:rPr>
        <w:t>ί</w:t>
      </w:r>
      <w:r w:rsidRPr="000E347F">
        <w:rPr>
          <w:rFonts w:ascii="Arial" w:hAnsi="Arial" w:cs="Arial"/>
          <w:sz w:val="22"/>
          <w:szCs w:val="22"/>
        </w:rPr>
        <w:t xml:space="preserve">α φορά, αρνητική επίδραση </w:t>
      </w:r>
      <w:r w:rsidRPr="000E347F">
        <w:rPr>
          <w:rFonts w:ascii="Arial" w:hAnsi="Arial" w:cs="Arial"/>
          <w:sz w:val="22"/>
          <w:szCs w:val="22"/>
          <w:lang w:val="el-GR"/>
        </w:rPr>
        <w:t>των όρων εμπορίου</w:t>
      </w:r>
      <w:r w:rsidRPr="000E347F">
        <w:rPr>
          <w:rFonts w:ascii="Arial" w:hAnsi="Arial" w:cs="Arial"/>
          <w:sz w:val="22"/>
          <w:szCs w:val="22"/>
        </w:rPr>
        <w:t xml:space="preserve">, </w:t>
      </w:r>
      <w:r w:rsidRPr="000E347F">
        <w:rPr>
          <w:rFonts w:ascii="Arial" w:hAnsi="Arial" w:cs="Arial"/>
          <w:sz w:val="22"/>
          <w:szCs w:val="22"/>
          <w:lang w:val="el-GR"/>
        </w:rPr>
        <w:t xml:space="preserve">ενώ ταυτόχρονα οι </w:t>
      </w:r>
      <w:r w:rsidRPr="000E347F">
        <w:rPr>
          <w:rFonts w:ascii="Arial" w:hAnsi="Arial" w:cs="Arial"/>
          <w:sz w:val="22"/>
          <w:szCs w:val="22"/>
        </w:rPr>
        <w:t>υπεύθυνο</w:t>
      </w:r>
      <w:r w:rsidRPr="000E347F">
        <w:rPr>
          <w:rFonts w:ascii="Arial" w:hAnsi="Arial" w:cs="Arial"/>
          <w:sz w:val="22"/>
          <w:szCs w:val="22"/>
          <w:lang w:val="el-GR"/>
        </w:rPr>
        <w:t>ι</w:t>
      </w:r>
      <w:r w:rsidRPr="000E347F">
        <w:rPr>
          <w:rFonts w:ascii="Arial" w:hAnsi="Arial" w:cs="Arial"/>
          <w:sz w:val="22"/>
          <w:szCs w:val="22"/>
        </w:rPr>
        <w:t xml:space="preserve"> χάραξης πολιτικής </w:t>
      </w:r>
      <w:r w:rsidRPr="000E347F">
        <w:rPr>
          <w:rFonts w:ascii="Arial" w:hAnsi="Arial" w:cs="Arial"/>
          <w:sz w:val="22"/>
          <w:szCs w:val="22"/>
          <w:lang w:val="el-GR"/>
        </w:rPr>
        <w:t>βρίσκονται μπροστά σε νέα διλήμματα και προκλήσεις</w:t>
      </w:r>
      <w:r w:rsidRPr="000E347F">
        <w:rPr>
          <w:rFonts w:ascii="Arial" w:hAnsi="Arial" w:cs="Arial"/>
          <w:sz w:val="22"/>
          <w:szCs w:val="22"/>
        </w:rPr>
        <w:t xml:space="preserve">. </w:t>
      </w:r>
    </w:p>
    <w:p w14:paraId="55CE159C" w14:textId="77777777" w:rsidR="000E347F" w:rsidRPr="000E347F" w:rsidRDefault="000E347F" w:rsidP="000E347F">
      <w:pPr>
        <w:pStyle w:val="P68B1DB1-Normal2"/>
        <w:spacing w:before="120" w:line="360" w:lineRule="auto"/>
        <w:jc w:val="both"/>
        <w:rPr>
          <w:rFonts w:ascii="Arial" w:hAnsi="Arial" w:cs="Arial"/>
          <w:iCs/>
          <w:sz w:val="22"/>
          <w:szCs w:val="22"/>
        </w:rPr>
      </w:pPr>
      <w:r w:rsidRPr="000E347F">
        <w:rPr>
          <w:rFonts w:ascii="Arial" w:hAnsi="Arial" w:cs="Arial"/>
          <w:sz w:val="22"/>
          <w:szCs w:val="22"/>
        </w:rPr>
        <w:t xml:space="preserve">Η </w:t>
      </w:r>
      <w:r w:rsidRPr="000E347F">
        <w:rPr>
          <w:rFonts w:ascii="Arial" w:hAnsi="Arial" w:cs="Arial"/>
          <w:sz w:val="22"/>
          <w:szCs w:val="22"/>
          <w:lang w:val="el-GR"/>
        </w:rPr>
        <w:t xml:space="preserve">φύση της </w:t>
      </w:r>
      <w:r w:rsidRPr="000E347F">
        <w:rPr>
          <w:rFonts w:ascii="Arial" w:hAnsi="Arial" w:cs="Arial"/>
          <w:sz w:val="22"/>
          <w:szCs w:val="22"/>
        </w:rPr>
        <w:t>παρούσα</w:t>
      </w:r>
      <w:r w:rsidRPr="000E347F">
        <w:rPr>
          <w:rFonts w:ascii="Arial" w:hAnsi="Arial" w:cs="Arial"/>
          <w:sz w:val="22"/>
          <w:szCs w:val="22"/>
          <w:lang w:val="el-GR"/>
        </w:rPr>
        <w:t>ς</w:t>
      </w:r>
      <w:r w:rsidRPr="000E347F">
        <w:rPr>
          <w:rFonts w:ascii="Arial" w:hAnsi="Arial" w:cs="Arial"/>
          <w:sz w:val="22"/>
          <w:szCs w:val="22"/>
        </w:rPr>
        <w:t xml:space="preserve"> διαταραχή</w:t>
      </w:r>
      <w:r w:rsidRPr="000E347F">
        <w:rPr>
          <w:rFonts w:ascii="Arial" w:hAnsi="Arial" w:cs="Arial"/>
          <w:sz w:val="22"/>
          <w:szCs w:val="22"/>
          <w:lang w:val="el-GR"/>
        </w:rPr>
        <w:t>ς</w:t>
      </w:r>
      <w:r w:rsidRPr="000E347F">
        <w:rPr>
          <w:rFonts w:ascii="Arial" w:hAnsi="Arial" w:cs="Arial"/>
          <w:sz w:val="22"/>
          <w:szCs w:val="22"/>
        </w:rPr>
        <w:t xml:space="preserve"> των τιμών της ενέργειας είναι </w:t>
      </w:r>
      <w:proofErr w:type="spellStart"/>
      <w:r w:rsidRPr="000E347F">
        <w:rPr>
          <w:rFonts w:ascii="Arial" w:hAnsi="Arial" w:cs="Arial"/>
          <w:sz w:val="22"/>
          <w:szCs w:val="22"/>
        </w:rPr>
        <w:t>στασιμοπληθωριστική</w:t>
      </w:r>
      <w:proofErr w:type="spellEnd"/>
      <w:r w:rsidRPr="000E347F">
        <w:rPr>
          <w:rFonts w:ascii="Arial" w:hAnsi="Arial" w:cs="Arial"/>
          <w:sz w:val="22"/>
          <w:szCs w:val="22"/>
        </w:rPr>
        <w:t xml:space="preserve">. </w:t>
      </w:r>
      <w:r w:rsidRPr="000E347F">
        <w:rPr>
          <w:rFonts w:ascii="Arial" w:hAnsi="Arial" w:cs="Arial"/>
          <w:sz w:val="22"/>
          <w:szCs w:val="22"/>
          <w:lang w:val="el-GR"/>
        </w:rPr>
        <w:t xml:space="preserve">Σύμφωνα με </w:t>
      </w:r>
      <w:r w:rsidRPr="000E347F">
        <w:rPr>
          <w:rFonts w:ascii="Arial" w:hAnsi="Arial" w:cs="Arial"/>
          <w:sz w:val="22"/>
          <w:szCs w:val="22"/>
        </w:rPr>
        <w:t xml:space="preserve">το βασικό σενάριο των προβολών των εμπειρογνωμόνων της ΕΚΤ, οι οποίες δημοσιεύθηκαν τον Μάρτιο, η διαταραχή αναμένεται να ωθήσει τον </w:t>
      </w:r>
      <w:r w:rsidRPr="000E347F">
        <w:rPr>
          <w:rFonts w:ascii="Arial" w:hAnsi="Arial" w:cs="Arial"/>
          <w:sz w:val="22"/>
          <w:szCs w:val="22"/>
          <w:lang w:val="el-GR"/>
        </w:rPr>
        <w:t xml:space="preserve">γενικό </w:t>
      </w:r>
      <w:r w:rsidRPr="000E347F">
        <w:rPr>
          <w:rFonts w:ascii="Arial" w:hAnsi="Arial" w:cs="Arial"/>
          <w:sz w:val="22"/>
          <w:szCs w:val="22"/>
        </w:rPr>
        <w:t xml:space="preserve">πληθωρισμό σε υψηλότερα επίπεδα βραχυπρόθεσμα, </w:t>
      </w:r>
      <w:r w:rsidRPr="000E347F">
        <w:rPr>
          <w:rFonts w:ascii="Arial" w:hAnsi="Arial" w:cs="Arial"/>
          <w:sz w:val="22"/>
          <w:szCs w:val="22"/>
          <w:lang w:val="el-GR"/>
        </w:rPr>
        <w:t>ενώ</w:t>
      </w:r>
      <w:r w:rsidRPr="000E347F">
        <w:rPr>
          <w:rFonts w:ascii="Arial" w:hAnsi="Arial" w:cs="Arial"/>
          <w:sz w:val="22"/>
          <w:szCs w:val="22"/>
        </w:rPr>
        <w:t xml:space="preserve"> θα επηρεάσει αρνητικά την ανάπτυξη μέσω του αυξημένου κόστους της ενέργειας, της </w:t>
      </w:r>
      <w:r w:rsidRPr="000E347F">
        <w:rPr>
          <w:rFonts w:ascii="Arial" w:hAnsi="Arial" w:cs="Arial"/>
          <w:sz w:val="22"/>
          <w:szCs w:val="22"/>
          <w:lang w:val="el-GR"/>
        </w:rPr>
        <w:t>μείωσης</w:t>
      </w:r>
      <w:r w:rsidRPr="000E347F">
        <w:rPr>
          <w:rFonts w:ascii="Arial" w:hAnsi="Arial" w:cs="Arial"/>
          <w:sz w:val="22"/>
          <w:szCs w:val="22"/>
        </w:rPr>
        <w:t xml:space="preserve"> των πραγματικών εισοδημάτων, της αυξημένης αβεβαιότητας και της </w:t>
      </w:r>
      <w:r w:rsidRPr="000E347F">
        <w:rPr>
          <w:rFonts w:ascii="Arial" w:hAnsi="Arial" w:cs="Arial"/>
          <w:sz w:val="22"/>
          <w:szCs w:val="22"/>
          <w:lang w:val="el-GR"/>
        </w:rPr>
        <w:t>υποχώρησης της</w:t>
      </w:r>
      <w:r w:rsidRPr="000E347F">
        <w:rPr>
          <w:rFonts w:ascii="Arial" w:hAnsi="Arial" w:cs="Arial"/>
          <w:sz w:val="22"/>
          <w:szCs w:val="22"/>
        </w:rPr>
        <w:t xml:space="preserve"> εμπιστοσύνης. Οι προβολές δείχνουν ότι οι βραχυπρόθεσμες προοπτικές για τον πληθωρισμό έχουν επιδεινωθεί σημαντικά, </w:t>
      </w:r>
      <w:r w:rsidRPr="000E347F">
        <w:rPr>
          <w:rFonts w:ascii="Arial" w:hAnsi="Arial" w:cs="Arial"/>
          <w:sz w:val="22"/>
          <w:szCs w:val="22"/>
          <w:lang w:val="el-GR"/>
        </w:rPr>
        <w:t xml:space="preserve">καθώς ο </w:t>
      </w:r>
      <w:r w:rsidRPr="000E347F">
        <w:rPr>
          <w:rFonts w:ascii="Arial" w:hAnsi="Arial" w:cs="Arial"/>
          <w:sz w:val="22"/>
          <w:szCs w:val="22"/>
          <w:lang w:val="el-GR"/>
        </w:rPr>
        <w:lastRenderedPageBreak/>
        <w:t>γενικός</w:t>
      </w:r>
      <w:r w:rsidRPr="000E347F">
        <w:rPr>
          <w:rFonts w:ascii="Arial" w:hAnsi="Arial" w:cs="Arial"/>
          <w:sz w:val="22"/>
          <w:szCs w:val="22"/>
        </w:rPr>
        <w:t xml:space="preserve"> πληθωρισμό</w:t>
      </w:r>
      <w:r w:rsidRPr="000E347F">
        <w:rPr>
          <w:rFonts w:ascii="Arial" w:hAnsi="Arial" w:cs="Arial"/>
          <w:sz w:val="22"/>
          <w:szCs w:val="22"/>
          <w:lang w:val="el-GR"/>
        </w:rPr>
        <w:t>ς</w:t>
      </w:r>
      <w:r w:rsidRPr="000E347F">
        <w:rPr>
          <w:rFonts w:ascii="Arial" w:hAnsi="Arial" w:cs="Arial"/>
          <w:sz w:val="22"/>
          <w:szCs w:val="22"/>
        </w:rPr>
        <w:t xml:space="preserve"> </w:t>
      </w:r>
      <w:r w:rsidRPr="000E347F">
        <w:rPr>
          <w:rFonts w:ascii="Arial" w:hAnsi="Arial" w:cs="Arial"/>
          <w:sz w:val="22"/>
          <w:szCs w:val="22"/>
          <w:lang w:val="el-GR"/>
        </w:rPr>
        <w:t xml:space="preserve">προβλέπεται να διαμορφωθεί </w:t>
      </w:r>
      <w:r w:rsidRPr="000E347F">
        <w:rPr>
          <w:rFonts w:ascii="Arial" w:hAnsi="Arial" w:cs="Arial"/>
          <w:sz w:val="22"/>
          <w:szCs w:val="22"/>
        </w:rPr>
        <w:t xml:space="preserve">σε 3,1% το β ́ τρίμηνο του τρέχοντος έτους και 2,8% το γ ́ τρίμηνο. Ωστόσο, οι μεσοπρόθεσμες προοπτικές για τον πληθωρισμό δεν έχουν </w:t>
      </w:r>
      <w:r w:rsidRPr="000E347F">
        <w:rPr>
          <w:rFonts w:ascii="Arial" w:hAnsi="Arial" w:cs="Arial"/>
          <w:sz w:val="22"/>
          <w:szCs w:val="22"/>
          <w:lang w:val="el-GR"/>
        </w:rPr>
        <w:t>απομακρυνθεί</w:t>
      </w:r>
      <w:r w:rsidRPr="000E347F">
        <w:rPr>
          <w:rFonts w:ascii="Arial" w:hAnsi="Arial" w:cs="Arial"/>
          <w:sz w:val="22"/>
          <w:szCs w:val="22"/>
        </w:rPr>
        <w:t xml:space="preserve"> σημαντικά από τον στόχο του 2%. Ο ρυθμός αύξησης του πραγματικού ΑΕΠ αναμένεται, σύμφωνα με τις προβολές, να διαμορφωθεί σε 0,9% εφέτος, </w:t>
      </w:r>
      <w:proofErr w:type="spellStart"/>
      <w:r w:rsidRPr="000E347F">
        <w:rPr>
          <w:rFonts w:ascii="Arial" w:hAnsi="Arial" w:cs="Arial"/>
          <w:sz w:val="22"/>
          <w:szCs w:val="22"/>
        </w:rPr>
        <w:t>ελαφρ</w:t>
      </w:r>
      <w:r w:rsidRPr="000E347F">
        <w:rPr>
          <w:rFonts w:ascii="Arial" w:hAnsi="Arial" w:cs="Arial"/>
          <w:sz w:val="22"/>
          <w:szCs w:val="22"/>
          <w:lang w:val="el-GR"/>
        </w:rPr>
        <w:t>ώς</w:t>
      </w:r>
      <w:proofErr w:type="spellEnd"/>
      <w:r w:rsidRPr="000E347F">
        <w:rPr>
          <w:rFonts w:ascii="Arial" w:hAnsi="Arial" w:cs="Arial"/>
          <w:sz w:val="22"/>
          <w:szCs w:val="22"/>
          <w:lang w:val="el-GR"/>
        </w:rPr>
        <w:t xml:space="preserve"> χαμηλότερα</w:t>
      </w:r>
      <w:r w:rsidRPr="000E347F">
        <w:rPr>
          <w:rFonts w:ascii="Arial" w:hAnsi="Arial" w:cs="Arial"/>
          <w:sz w:val="22"/>
          <w:szCs w:val="22"/>
        </w:rPr>
        <w:t xml:space="preserve"> σε σχέση με τις προηγούμενες προβολές. Ωστόσο, </w:t>
      </w:r>
      <w:proofErr w:type="spellStart"/>
      <w:r w:rsidRPr="000E347F">
        <w:rPr>
          <w:rFonts w:ascii="Arial" w:hAnsi="Arial" w:cs="Arial"/>
          <w:sz w:val="22"/>
          <w:szCs w:val="22"/>
        </w:rPr>
        <w:t>αυτ</w:t>
      </w:r>
      <w:r w:rsidRPr="000E347F">
        <w:rPr>
          <w:rFonts w:ascii="Arial" w:hAnsi="Arial" w:cs="Arial"/>
          <w:sz w:val="22"/>
          <w:szCs w:val="22"/>
          <w:lang w:val="el-GR"/>
        </w:rPr>
        <w:t>ές</w:t>
      </w:r>
      <w:proofErr w:type="spellEnd"/>
      <w:r w:rsidRPr="000E347F">
        <w:rPr>
          <w:rFonts w:ascii="Arial" w:hAnsi="Arial" w:cs="Arial"/>
          <w:sz w:val="22"/>
          <w:szCs w:val="22"/>
        </w:rPr>
        <w:t xml:space="preserve"> </w:t>
      </w:r>
      <w:r w:rsidRPr="000E347F">
        <w:rPr>
          <w:rFonts w:ascii="Arial" w:hAnsi="Arial" w:cs="Arial"/>
          <w:sz w:val="22"/>
          <w:szCs w:val="22"/>
          <w:lang w:val="el-GR"/>
        </w:rPr>
        <w:t>οι</w:t>
      </w:r>
      <w:r w:rsidRPr="000E347F">
        <w:rPr>
          <w:rFonts w:ascii="Arial" w:hAnsi="Arial" w:cs="Arial"/>
          <w:sz w:val="22"/>
          <w:szCs w:val="22"/>
        </w:rPr>
        <w:t xml:space="preserve"> </w:t>
      </w:r>
      <w:proofErr w:type="spellStart"/>
      <w:r w:rsidRPr="000E347F">
        <w:rPr>
          <w:rFonts w:ascii="Arial" w:hAnsi="Arial" w:cs="Arial"/>
          <w:sz w:val="22"/>
          <w:szCs w:val="22"/>
        </w:rPr>
        <w:t>προοπτικ</w:t>
      </w:r>
      <w:r w:rsidRPr="000E347F">
        <w:rPr>
          <w:rFonts w:ascii="Arial" w:hAnsi="Arial" w:cs="Arial"/>
          <w:sz w:val="22"/>
          <w:szCs w:val="22"/>
          <w:lang w:val="el-GR"/>
        </w:rPr>
        <w:t>ές</w:t>
      </w:r>
      <w:proofErr w:type="spellEnd"/>
      <w:r w:rsidRPr="000E347F">
        <w:rPr>
          <w:rFonts w:ascii="Arial" w:hAnsi="Arial" w:cs="Arial"/>
          <w:sz w:val="22"/>
          <w:szCs w:val="22"/>
        </w:rPr>
        <w:t xml:space="preserve"> </w:t>
      </w:r>
      <w:r w:rsidRPr="000E347F">
        <w:rPr>
          <w:rFonts w:ascii="Arial" w:hAnsi="Arial" w:cs="Arial"/>
          <w:sz w:val="22"/>
          <w:szCs w:val="22"/>
          <w:lang w:val="el-GR"/>
        </w:rPr>
        <w:t>υπόκεινται</w:t>
      </w:r>
      <w:r w:rsidRPr="000E347F">
        <w:rPr>
          <w:rFonts w:ascii="Arial" w:hAnsi="Arial" w:cs="Arial"/>
          <w:sz w:val="22"/>
          <w:szCs w:val="22"/>
        </w:rPr>
        <w:t xml:space="preserve"> σε υψηλή αβεβαιότητα</w:t>
      </w:r>
      <w:r w:rsidRPr="000E347F">
        <w:rPr>
          <w:rFonts w:ascii="Arial" w:hAnsi="Arial" w:cs="Arial"/>
          <w:sz w:val="22"/>
          <w:szCs w:val="22"/>
          <w:lang w:val="el-GR"/>
        </w:rPr>
        <w:t>, που εξαρτάται από την</w:t>
      </w:r>
      <w:r w:rsidRPr="000E347F">
        <w:rPr>
          <w:rFonts w:ascii="Arial" w:hAnsi="Arial" w:cs="Arial"/>
          <w:sz w:val="22"/>
          <w:szCs w:val="22"/>
        </w:rPr>
        <w:t xml:space="preserve"> εξέλιξη του πολέμου. Η νομισματική πολιτική θα πρέπει να </w:t>
      </w:r>
      <w:r w:rsidRPr="000E347F">
        <w:rPr>
          <w:rFonts w:ascii="Arial" w:hAnsi="Arial" w:cs="Arial"/>
          <w:sz w:val="22"/>
          <w:szCs w:val="22"/>
          <w:lang w:val="el-GR"/>
        </w:rPr>
        <w:t xml:space="preserve">πορευθεί μέσα σε </w:t>
      </w:r>
      <w:r w:rsidRPr="000E347F">
        <w:rPr>
          <w:rFonts w:ascii="Arial" w:hAnsi="Arial" w:cs="Arial"/>
          <w:sz w:val="22"/>
          <w:szCs w:val="22"/>
        </w:rPr>
        <w:t xml:space="preserve">αυτή την αβεβαιότητα. Εάν ο πόλεμος συνεχιστεί </w:t>
      </w:r>
      <w:r w:rsidRPr="000E347F">
        <w:rPr>
          <w:rFonts w:ascii="Arial" w:hAnsi="Arial" w:cs="Arial"/>
          <w:sz w:val="22"/>
          <w:szCs w:val="22"/>
          <w:lang w:val="el-GR"/>
        </w:rPr>
        <w:t>επί</w:t>
      </w:r>
      <w:r w:rsidRPr="000E347F">
        <w:rPr>
          <w:rFonts w:ascii="Arial" w:hAnsi="Arial" w:cs="Arial"/>
          <w:sz w:val="22"/>
          <w:szCs w:val="22"/>
        </w:rPr>
        <w:t xml:space="preserve"> </w:t>
      </w:r>
      <w:r w:rsidRPr="000E347F">
        <w:rPr>
          <w:rFonts w:ascii="Arial" w:hAnsi="Arial" w:cs="Arial"/>
          <w:sz w:val="22"/>
          <w:szCs w:val="22"/>
          <w:lang w:val="el-GR"/>
        </w:rPr>
        <w:t xml:space="preserve">μακρόν, </w:t>
      </w:r>
      <w:r w:rsidRPr="000E347F">
        <w:rPr>
          <w:rFonts w:ascii="Arial" w:hAnsi="Arial" w:cs="Arial"/>
          <w:sz w:val="22"/>
          <w:szCs w:val="22"/>
        </w:rPr>
        <w:t>η ζώνη του ευρώ θα βρεθεί αντιμέτωπη με ένα δυσμενέστερο μακροοικονομικό περιβάλλον από εκείνο που προκύπτει από το βασικό σενάριο των προβολών της ΕΚΤ, με ασθενέστερη ανάπτυξη και υψηλότερο και πιο επίμονο πληθωρισμό.</w:t>
      </w:r>
    </w:p>
    <w:p w14:paraId="5E1FF06A" w14:textId="77777777" w:rsidR="000E347F" w:rsidRPr="000E347F" w:rsidRDefault="000E347F" w:rsidP="000E347F">
      <w:pPr>
        <w:pStyle w:val="P68B1DB1-Normal2"/>
        <w:spacing w:before="120" w:line="360" w:lineRule="auto"/>
        <w:jc w:val="both"/>
        <w:rPr>
          <w:rFonts w:ascii="Arial" w:hAnsi="Arial" w:cs="Arial"/>
          <w:sz w:val="22"/>
          <w:szCs w:val="22"/>
        </w:rPr>
      </w:pPr>
      <w:r w:rsidRPr="000E347F">
        <w:rPr>
          <w:rFonts w:ascii="Arial" w:hAnsi="Arial" w:cs="Arial"/>
          <w:sz w:val="22"/>
          <w:szCs w:val="22"/>
        </w:rPr>
        <w:t>Σε ένα τέτοιο περιβάλλον, η πρόκληση για τους κεντρικούς τραπεζίτες είναι σαφής: πώς να αντιδράσουμε στον πληθωρισμό</w:t>
      </w:r>
      <w:r w:rsidRPr="000E347F">
        <w:rPr>
          <w:rFonts w:ascii="Arial" w:hAnsi="Arial" w:cs="Arial"/>
          <w:sz w:val="22"/>
          <w:szCs w:val="22"/>
          <w:lang w:val="el-GR"/>
        </w:rPr>
        <w:t>,</w:t>
      </w:r>
      <w:r w:rsidRPr="000E347F">
        <w:rPr>
          <w:rFonts w:ascii="Arial" w:hAnsi="Arial" w:cs="Arial"/>
          <w:sz w:val="22"/>
          <w:szCs w:val="22"/>
        </w:rPr>
        <w:t xml:space="preserve"> που σε μεγάλο βαθμό </w:t>
      </w:r>
      <w:r w:rsidRPr="000E347F">
        <w:rPr>
          <w:rFonts w:ascii="Arial" w:hAnsi="Arial" w:cs="Arial"/>
          <w:sz w:val="22"/>
          <w:szCs w:val="22"/>
          <w:lang w:val="el-GR"/>
        </w:rPr>
        <w:t xml:space="preserve">προκαλείται από </w:t>
      </w:r>
      <w:r w:rsidRPr="000E347F">
        <w:rPr>
          <w:rFonts w:ascii="Arial" w:hAnsi="Arial" w:cs="Arial"/>
          <w:sz w:val="22"/>
          <w:szCs w:val="22"/>
        </w:rPr>
        <w:t xml:space="preserve">παράγοντες από την πλευρά της προσφοράς, χωρίς </w:t>
      </w:r>
      <w:r w:rsidRPr="000E347F">
        <w:rPr>
          <w:rFonts w:ascii="Arial" w:hAnsi="Arial" w:cs="Arial"/>
          <w:sz w:val="22"/>
          <w:szCs w:val="22"/>
          <w:lang w:val="el-GR"/>
        </w:rPr>
        <w:t>να επιδεινωθεί η οικονομική επιβράδυνση</w:t>
      </w:r>
      <w:r w:rsidRPr="000E347F">
        <w:rPr>
          <w:rFonts w:ascii="Arial" w:hAnsi="Arial" w:cs="Arial"/>
          <w:sz w:val="22"/>
          <w:szCs w:val="22"/>
        </w:rPr>
        <w:t xml:space="preserve">. Η ΕΚΤ </w:t>
      </w:r>
      <w:r w:rsidRPr="000E347F">
        <w:rPr>
          <w:rFonts w:ascii="Arial" w:hAnsi="Arial" w:cs="Arial"/>
          <w:sz w:val="22"/>
          <w:szCs w:val="22"/>
          <w:lang w:val="el-GR"/>
        </w:rPr>
        <w:t xml:space="preserve">πορεύθηκε </w:t>
      </w:r>
      <w:r w:rsidRPr="000E347F">
        <w:rPr>
          <w:rFonts w:ascii="Arial" w:hAnsi="Arial" w:cs="Arial"/>
          <w:sz w:val="22"/>
          <w:szCs w:val="22"/>
        </w:rPr>
        <w:t xml:space="preserve">με επιτυχία </w:t>
      </w:r>
      <w:r w:rsidRPr="000E347F">
        <w:rPr>
          <w:rFonts w:ascii="Arial" w:hAnsi="Arial" w:cs="Arial"/>
          <w:sz w:val="22"/>
          <w:szCs w:val="22"/>
          <w:lang w:val="el-GR"/>
        </w:rPr>
        <w:t xml:space="preserve">σε </w:t>
      </w:r>
      <w:r w:rsidRPr="000E347F">
        <w:rPr>
          <w:rFonts w:ascii="Arial" w:hAnsi="Arial" w:cs="Arial"/>
          <w:sz w:val="22"/>
          <w:szCs w:val="22"/>
        </w:rPr>
        <w:t>ένα παρόμοιο επεισόδιο στο πρόσφατο παρελθόν και κατάφερε να τιθασεύσει τον πληθωρισμό, επιτυγχάνοντας παράλληλα ομαλή προσγείωση της οικονομίας</w:t>
      </w:r>
      <w:r w:rsidRPr="000E347F">
        <w:rPr>
          <w:rFonts w:ascii="Arial" w:hAnsi="Arial" w:cs="Arial"/>
          <w:sz w:val="22"/>
          <w:szCs w:val="22"/>
          <w:lang w:val="el-GR"/>
        </w:rPr>
        <w:t xml:space="preserve"> – </w:t>
      </w:r>
      <w:r w:rsidRPr="000E347F">
        <w:rPr>
          <w:rFonts w:ascii="Arial" w:hAnsi="Arial" w:cs="Arial"/>
          <w:sz w:val="22"/>
          <w:szCs w:val="22"/>
        </w:rPr>
        <w:t xml:space="preserve">δηλαδή χωρίς αρνητικό ρυθμό </w:t>
      </w:r>
      <w:r w:rsidRPr="000E347F">
        <w:rPr>
          <w:rFonts w:ascii="Arial" w:hAnsi="Arial" w:cs="Arial"/>
          <w:sz w:val="22"/>
          <w:szCs w:val="22"/>
          <w:lang w:val="el-GR"/>
        </w:rPr>
        <w:t>ανάπτυξης</w:t>
      </w:r>
      <w:r w:rsidRPr="000E347F">
        <w:rPr>
          <w:rFonts w:ascii="Arial" w:hAnsi="Arial" w:cs="Arial"/>
          <w:sz w:val="22"/>
          <w:szCs w:val="22"/>
        </w:rPr>
        <w:t xml:space="preserve">. Για να </w:t>
      </w:r>
      <w:r w:rsidRPr="000E347F">
        <w:rPr>
          <w:rFonts w:ascii="Arial" w:hAnsi="Arial" w:cs="Arial"/>
          <w:sz w:val="22"/>
          <w:szCs w:val="22"/>
          <w:lang w:val="el-GR"/>
        </w:rPr>
        <w:t xml:space="preserve">αποσαφηνίσω </w:t>
      </w:r>
      <w:r w:rsidRPr="000E347F">
        <w:rPr>
          <w:rFonts w:ascii="Arial" w:hAnsi="Arial" w:cs="Arial"/>
          <w:sz w:val="22"/>
          <w:szCs w:val="22"/>
        </w:rPr>
        <w:t xml:space="preserve">τις προκλήσεις που αντιμετωπίζει η νομισματική πολιτική, θα ήθελα να υπενθυμίσω εν συντομία τις προκλήσεις που αντιμετώπισε το Διοικητικό Συμβούλιο της ΕΚΤ στις αρχές της δεκαετίας του 2020, όταν η ζώνη του ευρώ επλήγη από μια σειρά διαταραχών, </w:t>
      </w:r>
      <w:r w:rsidRPr="000E347F">
        <w:rPr>
          <w:rFonts w:ascii="Arial" w:hAnsi="Arial" w:cs="Arial"/>
          <w:sz w:val="22"/>
          <w:szCs w:val="22"/>
          <w:lang w:val="el-GR"/>
        </w:rPr>
        <w:t xml:space="preserve">συμπεριλαμβανομένης της πανδημίας </w:t>
      </w:r>
      <w:r w:rsidRPr="000E347F">
        <w:rPr>
          <w:rFonts w:ascii="Arial" w:hAnsi="Arial" w:cs="Arial"/>
          <w:sz w:val="22"/>
          <w:szCs w:val="22"/>
          <w:lang w:val="en-US"/>
        </w:rPr>
        <w:t>Covid</w:t>
      </w:r>
      <w:r w:rsidRPr="000E347F">
        <w:rPr>
          <w:rFonts w:ascii="Arial" w:hAnsi="Arial" w:cs="Arial"/>
          <w:sz w:val="22"/>
          <w:szCs w:val="22"/>
          <w:lang w:val="el-GR"/>
        </w:rPr>
        <w:t>-19 και της</w:t>
      </w:r>
      <w:r w:rsidRPr="000E347F">
        <w:rPr>
          <w:rFonts w:ascii="Arial" w:hAnsi="Arial" w:cs="Arial"/>
          <w:sz w:val="22"/>
          <w:szCs w:val="22"/>
        </w:rPr>
        <w:t xml:space="preserve"> εισβολή</w:t>
      </w:r>
      <w:r w:rsidRPr="000E347F">
        <w:rPr>
          <w:rFonts w:ascii="Arial" w:hAnsi="Arial" w:cs="Arial"/>
          <w:sz w:val="22"/>
          <w:szCs w:val="22"/>
          <w:lang w:val="el-GR"/>
        </w:rPr>
        <w:t>ς</w:t>
      </w:r>
      <w:r w:rsidRPr="000E347F">
        <w:rPr>
          <w:rFonts w:ascii="Arial" w:hAnsi="Arial" w:cs="Arial"/>
          <w:sz w:val="22"/>
          <w:szCs w:val="22"/>
        </w:rPr>
        <w:t xml:space="preserve"> της Ρωσίας στην Ουκρανία.    </w:t>
      </w:r>
    </w:p>
    <w:p w14:paraId="0A56FE2F" w14:textId="77777777" w:rsidR="000E347F" w:rsidRPr="000E347F" w:rsidRDefault="000E347F" w:rsidP="000E347F">
      <w:pPr>
        <w:spacing w:before="120" w:line="360" w:lineRule="auto"/>
        <w:jc w:val="both"/>
        <w:rPr>
          <w:iCs/>
          <w:color w:val="auto"/>
          <w:sz w:val="22"/>
          <w:szCs w:val="22"/>
          <w:lang w:val="el-GR"/>
        </w:rPr>
      </w:pPr>
    </w:p>
    <w:p w14:paraId="46620539" w14:textId="77777777" w:rsidR="000E347F" w:rsidRPr="000E347F" w:rsidRDefault="000E347F" w:rsidP="000E347F">
      <w:pPr>
        <w:pStyle w:val="P68B1DB1-Normal3"/>
        <w:spacing w:before="120" w:line="360" w:lineRule="auto"/>
        <w:jc w:val="both"/>
        <w:rPr>
          <w:rFonts w:ascii="Arial" w:hAnsi="Arial" w:cs="Arial"/>
          <w:bCs/>
          <w:sz w:val="22"/>
          <w:szCs w:val="22"/>
        </w:rPr>
      </w:pPr>
      <w:r w:rsidRPr="000E347F">
        <w:rPr>
          <w:rFonts w:ascii="Arial" w:hAnsi="Arial" w:cs="Arial"/>
          <w:sz w:val="22"/>
          <w:szCs w:val="22"/>
        </w:rPr>
        <w:t xml:space="preserve">Η απότομη άνοδος του πληθωρισμού την περίοδο 2021-2022 </w:t>
      </w:r>
    </w:p>
    <w:p w14:paraId="396F45BB" w14:textId="77777777" w:rsidR="000E347F" w:rsidRPr="000E347F" w:rsidRDefault="000E347F" w:rsidP="000E347F">
      <w:pPr>
        <w:pStyle w:val="P68B1DB1-Normal2"/>
        <w:spacing w:before="120" w:line="360" w:lineRule="auto"/>
        <w:jc w:val="both"/>
        <w:rPr>
          <w:rFonts w:ascii="Arial" w:hAnsi="Arial" w:cs="Arial"/>
          <w:iCs/>
          <w:sz w:val="22"/>
          <w:szCs w:val="22"/>
        </w:rPr>
      </w:pPr>
      <w:r w:rsidRPr="000E347F">
        <w:rPr>
          <w:rFonts w:ascii="Arial" w:hAnsi="Arial" w:cs="Arial"/>
          <w:sz w:val="22"/>
          <w:szCs w:val="22"/>
        </w:rPr>
        <w:t>Κατά τη διάρκεια της έξαρσης του πληθωρισμού την περίοδο 2021-2022, οι προσδοκίες για τον πληθωρισμό παρέμειναν συγκρατημένες</w:t>
      </w:r>
      <w:r w:rsidRPr="000E347F">
        <w:rPr>
          <w:rFonts w:ascii="Arial" w:hAnsi="Arial" w:cs="Arial"/>
          <w:sz w:val="22"/>
          <w:szCs w:val="22"/>
          <w:lang w:val="el-GR"/>
        </w:rPr>
        <w:t xml:space="preserve"> – </w:t>
      </w:r>
      <w:r w:rsidRPr="000E347F">
        <w:rPr>
          <w:rFonts w:ascii="Arial" w:hAnsi="Arial" w:cs="Arial"/>
          <w:sz w:val="22"/>
          <w:szCs w:val="22"/>
        </w:rPr>
        <w:t xml:space="preserve">το επιτόκιο των συμφωνιών ανταλλαγής που </w:t>
      </w:r>
      <w:r w:rsidRPr="000E347F">
        <w:rPr>
          <w:rFonts w:ascii="Arial" w:hAnsi="Arial" w:cs="Arial"/>
          <w:sz w:val="22"/>
          <w:szCs w:val="22"/>
          <w:lang w:val="el-GR"/>
        </w:rPr>
        <w:t>συνδέεται με</w:t>
      </w:r>
      <w:r w:rsidRPr="000E347F">
        <w:rPr>
          <w:rFonts w:ascii="Arial" w:hAnsi="Arial" w:cs="Arial"/>
          <w:sz w:val="22"/>
          <w:szCs w:val="22"/>
        </w:rPr>
        <w:t xml:space="preserve"> τον πληθωρισμό μετά από 5 έτη για ορίζοντα </w:t>
      </w:r>
      <w:r w:rsidRPr="000E347F">
        <w:rPr>
          <w:rFonts w:ascii="Arial" w:hAnsi="Arial" w:cs="Arial"/>
          <w:sz w:val="22"/>
          <w:szCs w:val="22"/>
          <w:lang w:val="el-GR"/>
        </w:rPr>
        <w:t>5</w:t>
      </w:r>
      <w:r w:rsidRPr="000E347F">
        <w:rPr>
          <w:rFonts w:ascii="Arial" w:hAnsi="Arial" w:cs="Arial"/>
          <w:sz w:val="22"/>
          <w:szCs w:val="22"/>
        </w:rPr>
        <w:t xml:space="preserve"> ετών (</w:t>
      </w:r>
      <w:proofErr w:type="spellStart"/>
      <w:r w:rsidRPr="000E347F">
        <w:rPr>
          <w:rFonts w:ascii="Arial" w:hAnsi="Arial" w:cs="Arial"/>
          <w:sz w:val="22"/>
          <w:szCs w:val="22"/>
        </w:rPr>
        <w:t>forward</w:t>
      </w:r>
      <w:proofErr w:type="spellEnd"/>
      <w:r w:rsidRPr="000E347F">
        <w:rPr>
          <w:rFonts w:ascii="Arial" w:hAnsi="Arial" w:cs="Arial"/>
          <w:sz w:val="22"/>
          <w:szCs w:val="22"/>
        </w:rPr>
        <w:t>) στη ζώνη του ευρώ παρέμεινε κάτω του</w:t>
      </w:r>
      <w:r w:rsidRPr="000E347F">
        <w:rPr>
          <w:rFonts w:ascii="Arial" w:hAnsi="Arial" w:cs="Arial"/>
          <w:sz w:val="22"/>
          <w:szCs w:val="22"/>
          <w:lang w:val="el-GR"/>
        </w:rPr>
        <w:t xml:space="preserve"> </w:t>
      </w:r>
      <w:r w:rsidRPr="000E347F">
        <w:rPr>
          <w:rFonts w:ascii="Arial" w:hAnsi="Arial" w:cs="Arial"/>
          <w:sz w:val="22"/>
          <w:szCs w:val="22"/>
        </w:rPr>
        <w:t xml:space="preserve">3% καθ’ όλη τη διάρκεια </w:t>
      </w:r>
      <w:r w:rsidRPr="000E347F">
        <w:rPr>
          <w:rFonts w:ascii="Arial" w:hAnsi="Arial" w:cs="Arial"/>
          <w:sz w:val="22"/>
          <w:szCs w:val="22"/>
          <w:lang w:val="el-GR"/>
        </w:rPr>
        <w:t>της περιόδου</w:t>
      </w:r>
      <w:r w:rsidRPr="000E347F">
        <w:rPr>
          <w:rFonts w:ascii="Arial" w:hAnsi="Arial" w:cs="Arial"/>
          <w:sz w:val="22"/>
          <w:szCs w:val="22"/>
        </w:rPr>
        <w:t>, παρά το γεγονός ότι ο πραγματικός πληθωρισμός έφθασε σε διψήφια επίπεδα.</w:t>
      </w:r>
    </w:p>
    <w:p w14:paraId="7CD2F198" w14:textId="77777777" w:rsidR="000E347F" w:rsidRPr="000E347F" w:rsidRDefault="000E347F" w:rsidP="000E347F">
      <w:pPr>
        <w:pStyle w:val="P68B1DB1-Normal2"/>
        <w:spacing w:before="120" w:line="360" w:lineRule="auto"/>
        <w:jc w:val="both"/>
        <w:rPr>
          <w:rFonts w:ascii="Arial" w:hAnsi="Arial" w:cs="Arial"/>
          <w:iCs/>
          <w:sz w:val="22"/>
          <w:szCs w:val="22"/>
        </w:rPr>
      </w:pPr>
      <w:r w:rsidRPr="000E347F">
        <w:rPr>
          <w:rFonts w:ascii="Arial" w:hAnsi="Arial" w:cs="Arial"/>
          <w:sz w:val="22"/>
          <w:szCs w:val="22"/>
        </w:rPr>
        <w:t xml:space="preserve">Αντανακλώντας τις σταθεροποιημένες προσδοκίες για τον πληθωρισμό, η αύξηση των ονομαστικών μισθών ήταν αρχικά σχετικά υποτονική, ενώ οι πραγματικοί μισθοί μειώθηκαν απότομα πριν ανακάμψουν σταδιακά, καθώς οι εργαζόμενοι επιδίωξαν να ανακτήσουν την αγοραστική δύναμη που </w:t>
      </w:r>
      <w:proofErr w:type="spellStart"/>
      <w:r w:rsidRPr="000E347F">
        <w:rPr>
          <w:rFonts w:ascii="Arial" w:hAnsi="Arial" w:cs="Arial"/>
          <w:sz w:val="22"/>
          <w:szCs w:val="22"/>
        </w:rPr>
        <w:t>διέβρωσε</w:t>
      </w:r>
      <w:proofErr w:type="spellEnd"/>
      <w:r w:rsidRPr="000E347F">
        <w:rPr>
          <w:rFonts w:ascii="Arial" w:hAnsi="Arial" w:cs="Arial"/>
          <w:sz w:val="22"/>
          <w:szCs w:val="22"/>
        </w:rPr>
        <w:t xml:space="preserve"> η αύξηση του πληθωρισμού. Το σημαντικότερο είναι ότι δεν</w:t>
      </w:r>
      <w:r w:rsidRPr="000E347F">
        <w:rPr>
          <w:rFonts w:ascii="Arial" w:hAnsi="Arial" w:cs="Arial"/>
          <w:sz w:val="22"/>
          <w:szCs w:val="22"/>
          <w:lang w:val="el-GR"/>
        </w:rPr>
        <w:t xml:space="preserve"> δημιουργήθηκε δίνη </w:t>
      </w:r>
      <w:r w:rsidRPr="000E347F">
        <w:rPr>
          <w:rFonts w:ascii="Arial" w:hAnsi="Arial" w:cs="Arial"/>
          <w:sz w:val="22"/>
          <w:szCs w:val="22"/>
        </w:rPr>
        <w:t xml:space="preserve">μισθών-τιμών. </w:t>
      </w:r>
      <w:r w:rsidRPr="000E347F">
        <w:rPr>
          <w:rFonts w:ascii="Arial" w:hAnsi="Arial" w:cs="Arial"/>
          <w:sz w:val="22"/>
          <w:szCs w:val="22"/>
          <w:lang w:val="el-GR"/>
        </w:rPr>
        <w:t xml:space="preserve">Μια τέτοια </w:t>
      </w:r>
      <w:r w:rsidRPr="000E347F">
        <w:rPr>
          <w:rFonts w:ascii="Arial" w:hAnsi="Arial" w:cs="Arial"/>
          <w:sz w:val="22"/>
          <w:szCs w:val="22"/>
        </w:rPr>
        <w:t xml:space="preserve">συγκρατημένη αύξηση των ονομαστικών μισθών </w:t>
      </w:r>
      <w:r w:rsidRPr="000E347F">
        <w:rPr>
          <w:rFonts w:ascii="Arial" w:hAnsi="Arial" w:cs="Arial"/>
          <w:sz w:val="22"/>
          <w:szCs w:val="22"/>
          <w:lang w:val="el-GR"/>
        </w:rPr>
        <w:t xml:space="preserve">ενδεχομένως θα </w:t>
      </w:r>
      <w:r w:rsidRPr="000E347F">
        <w:rPr>
          <w:rFonts w:ascii="Arial" w:hAnsi="Arial" w:cs="Arial"/>
          <w:sz w:val="22"/>
          <w:szCs w:val="22"/>
        </w:rPr>
        <w:t>είναι δυσκολότερο να επιτευχθεί αυτή τη φορά, εάν συνεχιστεί ο πόλεμος στη Μέση Ανατολή, για δύο βασικούς λόγους.</w:t>
      </w:r>
    </w:p>
    <w:p w14:paraId="438B4C2E" w14:textId="77777777" w:rsidR="000E347F" w:rsidRPr="000E347F" w:rsidRDefault="000E347F" w:rsidP="000E347F">
      <w:pPr>
        <w:pStyle w:val="P68B1DB1-Normal2"/>
        <w:spacing w:before="120" w:line="360" w:lineRule="auto"/>
        <w:jc w:val="both"/>
        <w:rPr>
          <w:rFonts w:ascii="Arial" w:hAnsi="Arial" w:cs="Arial"/>
          <w:iCs/>
          <w:sz w:val="22"/>
          <w:szCs w:val="22"/>
        </w:rPr>
      </w:pPr>
      <w:r w:rsidRPr="000E347F">
        <w:rPr>
          <w:rFonts w:ascii="Arial" w:hAnsi="Arial" w:cs="Arial"/>
          <w:sz w:val="22"/>
          <w:szCs w:val="22"/>
        </w:rPr>
        <w:lastRenderedPageBreak/>
        <w:t xml:space="preserve">Πρώτον, κατά το επεισόδιο πληθωρισμού </w:t>
      </w:r>
      <w:r w:rsidRPr="000E347F">
        <w:rPr>
          <w:rFonts w:ascii="Arial" w:hAnsi="Arial" w:cs="Arial"/>
          <w:sz w:val="22"/>
          <w:szCs w:val="22"/>
          <w:lang w:val="el-GR"/>
        </w:rPr>
        <w:t xml:space="preserve">την περίοδο </w:t>
      </w:r>
      <w:r w:rsidRPr="000E347F">
        <w:rPr>
          <w:rFonts w:ascii="Arial" w:hAnsi="Arial" w:cs="Arial"/>
          <w:sz w:val="22"/>
          <w:szCs w:val="22"/>
        </w:rPr>
        <w:t xml:space="preserve">2021-2022, οι </w:t>
      </w:r>
      <w:proofErr w:type="spellStart"/>
      <w:r w:rsidRPr="000E347F">
        <w:rPr>
          <w:rFonts w:ascii="Arial" w:hAnsi="Arial" w:cs="Arial"/>
          <w:sz w:val="22"/>
          <w:szCs w:val="22"/>
        </w:rPr>
        <w:t>οικονομικ</w:t>
      </w:r>
      <w:r w:rsidRPr="000E347F">
        <w:rPr>
          <w:rFonts w:ascii="Arial" w:hAnsi="Arial" w:cs="Arial"/>
          <w:sz w:val="22"/>
          <w:szCs w:val="22"/>
          <w:lang w:val="el-GR"/>
        </w:rPr>
        <w:t>ές</w:t>
      </w:r>
      <w:proofErr w:type="spellEnd"/>
      <w:r w:rsidRPr="000E347F">
        <w:rPr>
          <w:rFonts w:ascii="Arial" w:hAnsi="Arial" w:cs="Arial"/>
          <w:sz w:val="22"/>
          <w:szCs w:val="22"/>
        </w:rPr>
        <w:t xml:space="preserve"> </w:t>
      </w:r>
      <w:r w:rsidRPr="000E347F">
        <w:rPr>
          <w:rFonts w:ascii="Arial" w:hAnsi="Arial" w:cs="Arial"/>
          <w:sz w:val="22"/>
          <w:szCs w:val="22"/>
          <w:lang w:val="el-GR"/>
        </w:rPr>
        <w:t xml:space="preserve">μονάδες </w:t>
      </w:r>
      <w:r w:rsidRPr="000E347F">
        <w:rPr>
          <w:rFonts w:ascii="Arial" w:hAnsi="Arial" w:cs="Arial"/>
          <w:sz w:val="22"/>
          <w:szCs w:val="22"/>
        </w:rPr>
        <w:t xml:space="preserve">δεν είχαν πρόσφατη μνήμη υψηλού πληθωρισμού. Οι προσδοκίες τους </w:t>
      </w:r>
      <w:r w:rsidRPr="000E347F">
        <w:rPr>
          <w:rFonts w:ascii="Arial" w:hAnsi="Arial" w:cs="Arial"/>
          <w:sz w:val="22"/>
          <w:szCs w:val="22"/>
          <w:lang w:val="el-GR"/>
        </w:rPr>
        <w:t>βασίζονταν σε</w:t>
      </w:r>
      <w:r w:rsidRPr="000E347F">
        <w:rPr>
          <w:rFonts w:ascii="Arial" w:hAnsi="Arial" w:cs="Arial"/>
          <w:sz w:val="22"/>
          <w:szCs w:val="22"/>
        </w:rPr>
        <w:t xml:space="preserve"> δεκαετίες πολύ χαμηλού</w:t>
      </w:r>
      <w:r w:rsidRPr="000E347F">
        <w:rPr>
          <w:rFonts w:ascii="Arial" w:hAnsi="Arial" w:cs="Arial"/>
          <w:sz w:val="22"/>
          <w:szCs w:val="22"/>
          <w:lang w:val="el-GR"/>
        </w:rPr>
        <w:t xml:space="preserve"> – α</w:t>
      </w:r>
      <w:r w:rsidRPr="000E347F">
        <w:rPr>
          <w:rFonts w:ascii="Arial" w:hAnsi="Arial" w:cs="Arial"/>
          <w:sz w:val="22"/>
          <w:szCs w:val="22"/>
        </w:rPr>
        <w:t>κόμη και αρνητικού</w:t>
      </w:r>
      <w:r w:rsidRPr="000E347F">
        <w:rPr>
          <w:rFonts w:ascii="Arial" w:hAnsi="Arial" w:cs="Arial"/>
          <w:sz w:val="22"/>
          <w:szCs w:val="22"/>
          <w:lang w:val="el-GR"/>
        </w:rPr>
        <w:t xml:space="preserve"> – πληθωρισμού</w:t>
      </w:r>
      <w:r w:rsidRPr="000E347F">
        <w:rPr>
          <w:rFonts w:ascii="Arial" w:hAnsi="Arial" w:cs="Arial"/>
          <w:sz w:val="22"/>
          <w:szCs w:val="22"/>
        </w:rPr>
        <w:t xml:space="preserve">. Έτσι, δεν είχαν </w:t>
      </w:r>
      <w:r w:rsidRPr="000E347F">
        <w:rPr>
          <w:rFonts w:ascii="Arial" w:hAnsi="Arial" w:cs="Arial"/>
          <w:sz w:val="22"/>
          <w:szCs w:val="22"/>
          <w:lang w:val="el-GR"/>
        </w:rPr>
        <w:t xml:space="preserve">κανέναν </w:t>
      </w:r>
      <w:r w:rsidRPr="000E347F">
        <w:rPr>
          <w:rFonts w:ascii="Arial" w:hAnsi="Arial" w:cs="Arial"/>
          <w:sz w:val="22"/>
          <w:szCs w:val="22"/>
        </w:rPr>
        <w:t>λόγο να αναμένουν ότι ο πληθωρισμός</w:t>
      </w:r>
      <w:r w:rsidRPr="000E347F">
        <w:rPr>
          <w:rFonts w:ascii="Arial" w:hAnsi="Arial" w:cs="Arial"/>
          <w:sz w:val="22"/>
          <w:szCs w:val="22"/>
          <w:lang w:val="el-GR"/>
        </w:rPr>
        <w:t xml:space="preserve"> θα</w:t>
      </w:r>
      <w:r w:rsidRPr="000E347F">
        <w:rPr>
          <w:rFonts w:ascii="Arial" w:hAnsi="Arial" w:cs="Arial"/>
          <w:sz w:val="22"/>
          <w:szCs w:val="22"/>
        </w:rPr>
        <w:t xml:space="preserve"> αυξανόταν σε επίπεδο άνω του 10%</w:t>
      </w:r>
      <w:r w:rsidRPr="000E347F">
        <w:rPr>
          <w:rFonts w:ascii="Arial" w:hAnsi="Arial" w:cs="Arial"/>
          <w:sz w:val="22"/>
          <w:szCs w:val="22"/>
          <w:lang w:val="el-GR"/>
        </w:rPr>
        <w:t xml:space="preserve">  – όπως τελικά συνέβη</w:t>
      </w:r>
      <w:r w:rsidRPr="000E347F">
        <w:rPr>
          <w:rFonts w:ascii="Arial" w:hAnsi="Arial" w:cs="Arial"/>
          <w:sz w:val="22"/>
          <w:szCs w:val="22"/>
        </w:rPr>
        <w:t>. Αυτή τη φορά</w:t>
      </w:r>
      <w:r w:rsidRPr="000E347F">
        <w:rPr>
          <w:rFonts w:ascii="Arial" w:hAnsi="Arial" w:cs="Arial"/>
          <w:sz w:val="22"/>
          <w:szCs w:val="22"/>
          <w:lang w:val="el-GR"/>
        </w:rPr>
        <w:t xml:space="preserve"> όμως</w:t>
      </w:r>
      <w:r w:rsidRPr="000E347F">
        <w:rPr>
          <w:rFonts w:ascii="Arial" w:hAnsi="Arial" w:cs="Arial"/>
          <w:sz w:val="22"/>
          <w:szCs w:val="22"/>
        </w:rPr>
        <w:t xml:space="preserve">, η μνήμη του διψήφιου πληθωρισμού είναι </w:t>
      </w:r>
      <w:r w:rsidRPr="000E347F">
        <w:rPr>
          <w:rFonts w:ascii="Arial" w:hAnsi="Arial" w:cs="Arial"/>
          <w:sz w:val="22"/>
          <w:szCs w:val="22"/>
          <w:lang w:val="el-GR"/>
        </w:rPr>
        <w:t>νωπή</w:t>
      </w:r>
      <w:r w:rsidRPr="000E347F">
        <w:rPr>
          <w:rFonts w:ascii="Arial" w:hAnsi="Arial" w:cs="Arial"/>
          <w:sz w:val="22"/>
          <w:szCs w:val="22"/>
        </w:rPr>
        <w:t xml:space="preserve"> και έτσι οι παραγωγοί και οι μισθωτοί </w:t>
      </w:r>
      <w:r w:rsidRPr="000E347F">
        <w:rPr>
          <w:rFonts w:ascii="Arial" w:hAnsi="Arial" w:cs="Arial"/>
          <w:sz w:val="22"/>
          <w:szCs w:val="22"/>
          <w:lang w:val="el-GR"/>
        </w:rPr>
        <w:t xml:space="preserve">είναι απίθανο </w:t>
      </w:r>
      <w:r w:rsidRPr="000E347F">
        <w:rPr>
          <w:rFonts w:ascii="Arial" w:hAnsi="Arial" w:cs="Arial"/>
          <w:sz w:val="22"/>
          <w:szCs w:val="22"/>
        </w:rPr>
        <w:t xml:space="preserve">να αντιδράσουν τόσο αργά </w:t>
      </w:r>
      <w:r w:rsidRPr="000E347F">
        <w:rPr>
          <w:rFonts w:ascii="Arial" w:hAnsi="Arial" w:cs="Arial"/>
          <w:sz w:val="22"/>
          <w:szCs w:val="22"/>
          <w:lang w:val="el-GR"/>
        </w:rPr>
        <w:t>όπως τότε</w:t>
      </w:r>
      <w:r w:rsidRPr="000E347F">
        <w:rPr>
          <w:rFonts w:ascii="Arial" w:hAnsi="Arial" w:cs="Arial"/>
          <w:sz w:val="22"/>
          <w:szCs w:val="22"/>
        </w:rPr>
        <w:t xml:space="preserve">. Έχουν </w:t>
      </w:r>
      <w:r w:rsidRPr="000E347F">
        <w:rPr>
          <w:rFonts w:ascii="Arial" w:hAnsi="Arial" w:cs="Arial"/>
          <w:sz w:val="22"/>
          <w:szCs w:val="22"/>
          <w:lang w:val="el-GR"/>
        </w:rPr>
        <w:t xml:space="preserve">πλέον </w:t>
      </w:r>
      <w:r w:rsidRPr="000E347F">
        <w:rPr>
          <w:rFonts w:ascii="Arial" w:hAnsi="Arial" w:cs="Arial"/>
          <w:sz w:val="22"/>
          <w:szCs w:val="22"/>
        </w:rPr>
        <w:t>εξοικειωθεί πολύ περισσότερο με τον υψηλότερο πληθωρισμό.</w:t>
      </w:r>
    </w:p>
    <w:p w14:paraId="51F65335" w14:textId="77777777" w:rsidR="000E347F" w:rsidRPr="000E347F" w:rsidRDefault="000E347F" w:rsidP="000E347F">
      <w:pPr>
        <w:pStyle w:val="P68B1DB1-Normal2"/>
        <w:spacing w:before="120" w:line="360" w:lineRule="auto"/>
        <w:jc w:val="both"/>
        <w:rPr>
          <w:rFonts w:ascii="Arial" w:hAnsi="Arial" w:cs="Arial"/>
          <w:iCs/>
          <w:sz w:val="22"/>
          <w:szCs w:val="22"/>
          <w:lang w:val="el-GR"/>
        </w:rPr>
      </w:pPr>
      <w:r w:rsidRPr="000E347F">
        <w:rPr>
          <w:rFonts w:ascii="Arial" w:hAnsi="Arial" w:cs="Arial"/>
          <w:sz w:val="22"/>
          <w:szCs w:val="22"/>
        </w:rPr>
        <w:t xml:space="preserve">Δεύτερον, κατά την περίοδο 2021-2022 η νομισματική πολιτική θεωρήθηκε το </w:t>
      </w:r>
      <w:r w:rsidRPr="000E347F">
        <w:rPr>
          <w:rFonts w:ascii="Arial" w:hAnsi="Arial" w:cs="Arial"/>
          <w:sz w:val="22"/>
          <w:szCs w:val="22"/>
          <w:lang w:val="el-GR"/>
        </w:rPr>
        <w:t>βασικό σημείο πρόσδεσης των</w:t>
      </w:r>
      <w:r w:rsidRPr="000E347F">
        <w:rPr>
          <w:rFonts w:ascii="Arial" w:hAnsi="Arial" w:cs="Arial"/>
          <w:sz w:val="22"/>
          <w:szCs w:val="22"/>
        </w:rPr>
        <w:t xml:space="preserve"> μεσοπρόθεσμων προσδοκιών για τον πληθωρισμό, </w:t>
      </w:r>
      <w:r w:rsidRPr="000E347F">
        <w:rPr>
          <w:rFonts w:ascii="Arial" w:hAnsi="Arial" w:cs="Arial"/>
          <w:sz w:val="22"/>
          <w:szCs w:val="22"/>
          <w:lang w:val="el-GR"/>
        </w:rPr>
        <w:t>κάτι στο οποίο συνέβαλε η</w:t>
      </w:r>
      <w:r w:rsidRPr="000E347F">
        <w:rPr>
          <w:rFonts w:ascii="Arial" w:hAnsi="Arial" w:cs="Arial"/>
          <w:sz w:val="22"/>
          <w:szCs w:val="22"/>
        </w:rPr>
        <w:t xml:space="preserve"> υψηλή αξιοπιστία τ</w:t>
      </w:r>
      <w:r w:rsidRPr="000E347F">
        <w:rPr>
          <w:rFonts w:ascii="Arial" w:hAnsi="Arial" w:cs="Arial"/>
          <w:sz w:val="22"/>
          <w:szCs w:val="22"/>
          <w:lang w:val="el-GR"/>
        </w:rPr>
        <w:t>ων κεντρικών τραπεζών</w:t>
      </w:r>
      <w:r w:rsidRPr="000E347F">
        <w:rPr>
          <w:rFonts w:ascii="Arial" w:hAnsi="Arial" w:cs="Arial"/>
          <w:sz w:val="22"/>
          <w:szCs w:val="22"/>
        </w:rPr>
        <w:t>. Τώρα όμως</w:t>
      </w:r>
      <w:r w:rsidRPr="000E347F">
        <w:rPr>
          <w:rFonts w:ascii="Arial" w:hAnsi="Arial" w:cs="Arial"/>
          <w:sz w:val="22"/>
          <w:szCs w:val="22"/>
          <w:lang w:val="el-GR"/>
        </w:rPr>
        <w:t xml:space="preserve"> που ο πόλεμος στο Ιράν</w:t>
      </w:r>
      <w:r w:rsidRPr="000E347F">
        <w:rPr>
          <w:rFonts w:ascii="Arial" w:hAnsi="Arial" w:cs="Arial"/>
          <w:sz w:val="22"/>
          <w:szCs w:val="22"/>
        </w:rPr>
        <w:t xml:space="preserve"> </w:t>
      </w:r>
      <w:r w:rsidRPr="000E347F">
        <w:rPr>
          <w:rFonts w:ascii="Arial" w:hAnsi="Arial" w:cs="Arial"/>
          <w:sz w:val="22"/>
          <w:szCs w:val="22"/>
          <w:lang w:val="el-GR"/>
        </w:rPr>
        <w:t xml:space="preserve">ήρθε σχεδόν αμέσως μετά </w:t>
      </w:r>
      <w:r w:rsidRPr="000E347F">
        <w:rPr>
          <w:rFonts w:ascii="Arial" w:hAnsi="Arial" w:cs="Arial"/>
          <w:sz w:val="22"/>
          <w:szCs w:val="22"/>
        </w:rPr>
        <w:t xml:space="preserve">τη μεταπανδημική πληθωριστική διαταραχή, την εισβολή στην Ουκρανία και τους κραδασμούς </w:t>
      </w:r>
      <w:r w:rsidRPr="000E347F">
        <w:rPr>
          <w:rFonts w:ascii="Arial" w:hAnsi="Arial" w:cs="Arial"/>
          <w:sz w:val="22"/>
          <w:szCs w:val="22"/>
          <w:lang w:val="el-GR"/>
        </w:rPr>
        <w:t xml:space="preserve">που προκάλεσαν οι επιθέσεις </w:t>
      </w:r>
      <w:r w:rsidRPr="000E347F">
        <w:rPr>
          <w:rFonts w:ascii="Arial" w:hAnsi="Arial" w:cs="Arial"/>
          <w:sz w:val="22"/>
          <w:szCs w:val="22"/>
        </w:rPr>
        <w:t xml:space="preserve">του Ιουνίου 2025 κατά του Ιράν, οι </w:t>
      </w:r>
      <w:proofErr w:type="spellStart"/>
      <w:r w:rsidRPr="000E347F">
        <w:rPr>
          <w:rFonts w:ascii="Arial" w:hAnsi="Arial" w:cs="Arial"/>
          <w:sz w:val="22"/>
          <w:szCs w:val="22"/>
        </w:rPr>
        <w:t>οικονομικ</w:t>
      </w:r>
      <w:r w:rsidRPr="000E347F">
        <w:rPr>
          <w:rFonts w:ascii="Arial" w:hAnsi="Arial" w:cs="Arial"/>
          <w:sz w:val="22"/>
          <w:szCs w:val="22"/>
          <w:lang w:val="el-GR"/>
        </w:rPr>
        <w:t>ές</w:t>
      </w:r>
      <w:proofErr w:type="spellEnd"/>
      <w:r w:rsidRPr="000E347F">
        <w:rPr>
          <w:rFonts w:ascii="Arial" w:hAnsi="Arial" w:cs="Arial"/>
          <w:sz w:val="22"/>
          <w:szCs w:val="22"/>
        </w:rPr>
        <w:t xml:space="preserve"> </w:t>
      </w:r>
      <w:r w:rsidRPr="000E347F">
        <w:rPr>
          <w:rFonts w:ascii="Arial" w:hAnsi="Arial" w:cs="Arial"/>
          <w:sz w:val="22"/>
          <w:szCs w:val="22"/>
          <w:lang w:val="el-GR"/>
        </w:rPr>
        <w:t xml:space="preserve">μονάδες </w:t>
      </w:r>
      <w:r w:rsidRPr="000E347F">
        <w:rPr>
          <w:rFonts w:ascii="Arial" w:hAnsi="Arial" w:cs="Arial"/>
          <w:sz w:val="22"/>
          <w:szCs w:val="22"/>
        </w:rPr>
        <w:t xml:space="preserve">μπορεί να μην είναι τόσο </w:t>
      </w:r>
      <w:proofErr w:type="spellStart"/>
      <w:r w:rsidRPr="000E347F">
        <w:rPr>
          <w:rFonts w:ascii="Arial" w:hAnsi="Arial" w:cs="Arial"/>
          <w:sz w:val="22"/>
          <w:szCs w:val="22"/>
        </w:rPr>
        <w:t>πρόθυμ</w:t>
      </w:r>
      <w:r w:rsidRPr="000E347F">
        <w:rPr>
          <w:rFonts w:ascii="Arial" w:hAnsi="Arial" w:cs="Arial"/>
          <w:sz w:val="22"/>
          <w:szCs w:val="22"/>
          <w:lang w:val="el-GR"/>
        </w:rPr>
        <w:t>ες</w:t>
      </w:r>
      <w:proofErr w:type="spellEnd"/>
      <w:r w:rsidRPr="000E347F">
        <w:rPr>
          <w:rFonts w:ascii="Arial" w:hAnsi="Arial" w:cs="Arial"/>
          <w:sz w:val="22"/>
          <w:szCs w:val="22"/>
        </w:rPr>
        <w:t xml:space="preserve"> να θεωρήσουν τις κεντρικές τράπεζες ως </w:t>
      </w:r>
      <w:r w:rsidRPr="000E347F">
        <w:rPr>
          <w:rFonts w:ascii="Arial" w:hAnsi="Arial" w:cs="Arial"/>
          <w:sz w:val="22"/>
          <w:szCs w:val="22"/>
          <w:lang w:val="el-GR"/>
        </w:rPr>
        <w:t>τον κυρίαρχο του παιχνιδιού</w:t>
      </w:r>
      <w:r w:rsidRPr="000E347F">
        <w:rPr>
          <w:rFonts w:ascii="Arial" w:hAnsi="Arial" w:cs="Arial"/>
          <w:sz w:val="22"/>
          <w:szCs w:val="22"/>
        </w:rPr>
        <w:t>. Οι</w:t>
      </w:r>
      <w:r w:rsidRPr="000E347F">
        <w:rPr>
          <w:rFonts w:ascii="Arial" w:hAnsi="Arial" w:cs="Arial"/>
          <w:sz w:val="22"/>
          <w:szCs w:val="22"/>
          <w:lang w:val="el-GR"/>
        </w:rPr>
        <w:t xml:space="preserve"> πολίτες</w:t>
      </w:r>
      <w:r w:rsidRPr="000E347F">
        <w:rPr>
          <w:rFonts w:ascii="Arial" w:hAnsi="Arial" w:cs="Arial"/>
          <w:sz w:val="22"/>
          <w:szCs w:val="22"/>
        </w:rPr>
        <w:t xml:space="preserve"> μπορεί να </w:t>
      </w:r>
      <w:r w:rsidRPr="000E347F">
        <w:rPr>
          <w:rFonts w:ascii="Arial" w:hAnsi="Arial" w:cs="Arial"/>
          <w:sz w:val="22"/>
          <w:szCs w:val="22"/>
          <w:lang w:val="el-GR"/>
        </w:rPr>
        <w:t>αρχίσουν να πιστεύουν ολοένα</w:t>
      </w:r>
      <w:r w:rsidRPr="000E347F">
        <w:rPr>
          <w:rFonts w:ascii="Arial" w:hAnsi="Arial" w:cs="Arial"/>
          <w:sz w:val="22"/>
          <w:szCs w:val="22"/>
        </w:rPr>
        <w:t xml:space="preserve"> και περισσότερο </w:t>
      </w:r>
      <w:r w:rsidRPr="000E347F">
        <w:rPr>
          <w:rFonts w:ascii="Arial" w:hAnsi="Arial" w:cs="Arial"/>
          <w:sz w:val="22"/>
          <w:szCs w:val="22"/>
          <w:lang w:val="el-GR"/>
        </w:rPr>
        <w:t xml:space="preserve">ότι ο πληθωρισμός </w:t>
      </w:r>
      <w:r w:rsidRPr="000E347F">
        <w:rPr>
          <w:rFonts w:ascii="Arial" w:hAnsi="Arial" w:cs="Arial"/>
          <w:sz w:val="22"/>
          <w:szCs w:val="22"/>
        </w:rPr>
        <w:t xml:space="preserve">καθορίζεται, τουλάχιστον εν μέρει, από επαναλαμβανόμενες </w:t>
      </w:r>
      <w:r w:rsidRPr="000E347F">
        <w:rPr>
          <w:rFonts w:ascii="Arial" w:hAnsi="Arial" w:cs="Arial"/>
          <w:sz w:val="22"/>
          <w:szCs w:val="22"/>
          <w:lang w:val="el-GR"/>
        </w:rPr>
        <w:t xml:space="preserve">παγκόσμιες </w:t>
      </w:r>
      <w:r w:rsidRPr="000E347F">
        <w:rPr>
          <w:rFonts w:ascii="Arial" w:hAnsi="Arial" w:cs="Arial"/>
          <w:sz w:val="22"/>
          <w:szCs w:val="22"/>
        </w:rPr>
        <w:t>διαταραχές από την πλευρά της προσφοράς</w:t>
      </w:r>
      <w:r w:rsidRPr="000E347F">
        <w:rPr>
          <w:rFonts w:ascii="Arial" w:hAnsi="Arial" w:cs="Arial"/>
          <w:sz w:val="22"/>
          <w:szCs w:val="22"/>
          <w:lang w:val="el-GR"/>
        </w:rPr>
        <w:t xml:space="preserve"> στην παγκόσμια οικονομία</w:t>
      </w:r>
      <w:r w:rsidRPr="000E347F">
        <w:rPr>
          <w:rFonts w:ascii="Arial" w:hAnsi="Arial" w:cs="Arial"/>
          <w:sz w:val="22"/>
          <w:szCs w:val="22"/>
        </w:rPr>
        <w:t xml:space="preserve">, </w:t>
      </w:r>
      <w:r w:rsidRPr="000E347F">
        <w:rPr>
          <w:rFonts w:ascii="Arial" w:hAnsi="Arial" w:cs="Arial"/>
          <w:sz w:val="22"/>
          <w:szCs w:val="22"/>
          <w:lang w:val="el-GR"/>
        </w:rPr>
        <w:t xml:space="preserve">και ότι </w:t>
      </w:r>
      <w:r w:rsidRPr="000E347F">
        <w:rPr>
          <w:rFonts w:ascii="Arial" w:hAnsi="Arial" w:cs="Arial"/>
          <w:sz w:val="22"/>
          <w:szCs w:val="22"/>
        </w:rPr>
        <w:t xml:space="preserve">οι κεντρικές τράπεζες δεν </w:t>
      </w:r>
      <w:r w:rsidRPr="000E347F">
        <w:rPr>
          <w:rFonts w:ascii="Arial" w:hAnsi="Arial" w:cs="Arial"/>
          <w:sz w:val="22"/>
          <w:szCs w:val="22"/>
          <w:lang w:val="el-GR"/>
        </w:rPr>
        <w:t xml:space="preserve">είναι σε θέση </w:t>
      </w:r>
      <w:r w:rsidRPr="000E347F">
        <w:rPr>
          <w:rFonts w:ascii="Arial" w:hAnsi="Arial" w:cs="Arial"/>
          <w:sz w:val="22"/>
          <w:szCs w:val="22"/>
        </w:rPr>
        <w:t>να προφυλάξουν την οικονομία</w:t>
      </w:r>
      <w:r w:rsidRPr="000E347F">
        <w:rPr>
          <w:rFonts w:ascii="Arial" w:hAnsi="Arial" w:cs="Arial"/>
          <w:sz w:val="22"/>
          <w:szCs w:val="22"/>
          <w:lang w:val="el-GR"/>
        </w:rPr>
        <w:t xml:space="preserve"> πλήρως</w:t>
      </w:r>
      <w:r w:rsidRPr="000E347F">
        <w:rPr>
          <w:rFonts w:ascii="Arial" w:hAnsi="Arial" w:cs="Arial"/>
          <w:sz w:val="22"/>
          <w:szCs w:val="22"/>
        </w:rPr>
        <w:t xml:space="preserve">. </w:t>
      </w:r>
    </w:p>
    <w:p w14:paraId="71E2F191" w14:textId="77777777" w:rsidR="000E347F" w:rsidRPr="000E347F" w:rsidRDefault="000E347F" w:rsidP="000E347F">
      <w:pPr>
        <w:pStyle w:val="P68B1DB1-Normal2"/>
        <w:spacing w:before="120" w:line="360" w:lineRule="auto"/>
        <w:jc w:val="both"/>
        <w:rPr>
          <w:rFonts w:ascii="Arial" w:hAnsi="Arial" w:cs="Arial"/>
          <w:sz w:val="22"/>
          <w:szCs w:val="22"/>
        </w:rPr>
      </w:pPr>
      <w:r w:rsidRPr="000E347F">
        <w:rPr>
          <w:rFonts w:ascii="Arial" w:hAnsi="Arial" w:cs="Arial"/>
          <w:sz w:val="22"/>
          <w:szCs w:val="22"/>
        </w:rPr>
        <w:t xml:space="preserve">Οι συνέπειες </w:t>
      </w:r>
      <w:r w:rsidRPr="000E347F">
        <w:rPr>
          <w:rFonts w:ascii="Arial" w:hAnsi="Arial" w:cs="Arial"/>
          <w:sz w:val="22"/>
          <w:szCs w:val="22"/>
          <w:lang w:val="el-GR"/>
        </w:rPr>
        <w:t xml:space="preserve">για την </w:t>
      </w:r>
      <w:r w:rsidRPr="000E347F">
        <w:rPr>
          <w:rFonts w:ascii="Arial" w:hAnsi="Arial" w:cs="Arial"/>
          <w:sz w:val="22"/>
          <w:szCs w:val="22"/>
        </w:rPr>
        <w:t xml:space="preserve">πολιτική είναι σαφείς. Εάν εμφανιστούν ενδείξεις </w:t>
      </w:r>
      <w:r w:rsidRPr="000E347F">
        <w:rPr>
          <w:rFonts w:ascii="Arial" w:hAnsi="Arial" w:cs="Arial"/>
          <w:sz w:val="22"/>
          <w:szCs w:val="22"/>
          <w:lang w:val="el-GR"/>
        </w:rPr>
        <w:t xml:space="preserve">εδραίωσης των δευτερογενών επιδράσεων </w:t>
      </w:r>
      <w:r w:rsidRPr="000E347F">
        <w:rPr>
          <w:rFonts w:ascii="Arial" w:hAnsi="Arial" w:cs="Arial"/>
          <w:sz w:val="22"/>
          <w:szCs w:val="22"/>
        </w:rPr>
        <w:t xml:space="preserve">ή </w:t>
      </w:r>
      <w:r w:rsidRPr="000E347F">
        <w:rPr>
          <w:rFonts w:ascii="Arial" w:hAnsi="Arial" w:cs="Arial"/>
          <w:sz w:val="22"/>
          <w:szCs w:val="22"/>
          <w:lang w:val="el-GR"/>
        </w:rPr>
        <w:t xml:space="preserve">μεταβολής των πληθωριστικών προσδοκιών, </w:t>
      </w:r>
      <w:r w:rsidRPr="000E347F">
        <w:rPr>
          <w:rFonts w:ascii="Arial" w:hAnsi="Arial" w:cs="Arial"/>
          <w:sz w:val="22"/>
          <w:szCs w:val="22"/>
        </w:rPr>
        <w:t>η ΕΚΤ θα πρέπει να αντιδράσει γρήγορα για να διασφαλίσει ότι οι πληθωριστικές πιέσεις δεν θα παγιωθούν στις προσδοκίες.</w:t>
      </w:r>
    </w:p>
    <w:p w14:paraId="2A5A354C" w14:textId="77777777" w:rsidR="000E347F" w:rsidRPr="000E347F" w:rsidRDefault="000E347F" w:rsidP="000E347F">
      <w:pPr>
        <w:spacing w:before="120" w:line="360" w:lineRule="auto"/>
        <w:jc w:val="both"/>
        <w:rPr>
          <w:b/>
          <w:bCs/>
          <w:i/>
          <w:color w:val="auto"/>
          <w:sz w:val="22"/>
          <w:szCs w:val="22"/>
          <w:lang w:val="el-GR"/>
        </w:rPr>
      </w:pPr>
    </w:p>
    <w:p w14:paraId="61BB748E" w14:textId="77777777" w:rsidR="000E347F" w:rsidRPr="000E347F" w:rsidRDefault="000E347F" w:rsidP="000E347F">
      <w:pPr>
        <w:pStyle w:val="P68B1DB1-Normal3"/>
        <w:spacing w:before="120" w:line="360" w:lineRule="auto"/>
        <w:jc w:val="both"/>
        <w:rPr>
          <w:rFonts w:ascii="Arial" w:hAnsi="Arial" w:cs="Arial"/>
          <w:bCs/>
          <w:sz w:val="22"/>
          <w:szCs w:val="22"/>
        </w:rPr>
      </w:pPr>
      <w:r w:rsidRPr="000E347F">
        <w:rPr>
          <w:rFonts w:ascii="Arial" w:hAnsi="Arial" w:cs="Arial"/>
          <w:sz w:val="22"/>
          <w:szCs w:val="22"/>
          <w:lang w:val="el-GR"/>
        </w:rPr>
        <w:t>Η νομισματική</w:t>
      </w:r>
      <w:r w:rsidRPr="000E347F">
        <w:rPr>
          <w:rFonts w:ascii="Arial" w:hAnsi="Arial" w:cs="Arial"/>
          <w:sz w:val="22"/>
          <w:szCs w:val="22"/>
        </w:rPr>
        <w:t xml:space="preserve"> πολιτική </w:t>
      </w:r>
      <w:r w:rsidRPr="000E347F">
        <w:rPr>
          <w:rFonts w:ascii="Arial" w:hAnsi="Arial" w:cs="Arial"/>
          <w:sz w:val="22"/>
          <w:szCs w:val="22"/>
          <w:lang w:val="el-GR"/>
        </w:rPr>
        <w:t>την προσεχή περίοδο</w:t>
      </w:r>
    </w:p>
    <w:p w14:paraId="6F736485" w14:textId="77777777" w:rsidR="000E347F" w:rsidRPr="000E347F" w:rsidRDefault="000E347F" w:rsidP="000E347F">
      <w:pPr>
        <w:pStyle w:val="P68B1DB1-Normal2"/>
        <w:spacing w:before="120" w:line="360" w:lineRule="auto"/>
        <w:jc w:val="both"/>
        <w:rPr>
          <w:rFonts w:ascii="Arial" w:hAnsi="Arial" w:cs="Arial"/>
          <w:iCs/>
          <w:sz w:val="22"/>
          <w:szCs w:val="22"/>
          <w:lang w:val="el-GR"/>
        </w:rPr>
      </w:pPr>
      <w:r w:rsidRPr="000E347F">
        <w:rPr>
          <w:rFonts w:ascii="Arial" w:hAnsi="Arial" w:cs="Arial"/>
          <w:sz w:val="22"/>
          <w:szCs w:val="22"/>
        </w:rPr>
        <w:t xml:space="preserve">Ενώ </w:t>
      </w:r>
      <w:r w:rsidRPr="000E347F">
        <w:rPr>
          <w:rFonts w:ascii="Arial" w:hAnsi="Arial" w:cs="Arial"/>
          <w:sz w:val="22"/>
          <w:szCs w:val="22"/>
          <w:lang w:val="el-GR"/>
        </w:rPr>
        <w:t xml:space="preserve">τα παραπάνω </w:t>
      </w:r>
      <w:r w:rsidRPr="000E347F">
        <w:rPr>
          <w:rFonts w:ascii="Arial" w:hAnsi="Arial" w:cs="Arial"/>
          <w:sz w:val="22"/>
          <w:szCs w:val="22"/>
        </w:rPr>
        <w:t>υποδηλώνουν ότι η διαχείριση του τρέχοντος επεισοδίου μπορεί να αποδειχθεί</w:t>
      </w:r>
      <w:r w:rsidRPr="000E347F">
        <w:rPr>
          <w:rFonts w:ascii="Arial" w:hAnsi="Arial" w:cs="Arial"/>
          <w:sz w:val="22"/>
          <w:szCs w:val="22"/>
          <w:lang w:val="el-GR"/>
        </w:rPr>
        <w:t xml:space="preserve"> από ορισμένες απόψεις δυσκολότερη</w:t>
      </w:r>
      <w:r w:rsidRPr="000E347F">
        <w:rPr>
          <w:rFonts w:ascii="Arial" w:hAnsi="Arial" w:cs="Arial"/>
          <w:sz w:val="22"/>
          <w:szCs w:val="22"/>
        </w:rPr>
        <w:t xml:space="preserve">, υπάρχει επίσης </w:t>
      </w:r>
      <w:r w:rsidRPr="000E347F">
        <w:rPr>
          <w:rFonts w:ascii="Arial" w:hAnsi="Arial" w:cs="Arial"/>
          <w:sz w:val="22"/>
          <w:szCs w:val="22"/>
          <w:lang w:val="el-GR"/>
        </w:rPr>
        <w:t xml:space="preserve">μια </w:t>
      </w:r>
      <w:r w:rsidRPr="000E347F">
        <w:rPr>
          <w:rFonts w:ascii="Arial" w:hAnsi="Arial" w:cs="Arial"/>
          <w:sz w:val="22"/>
          <w:szCs w:val="22"/>
        </w:rPr>
        <w:t xml:space="preserve">σημαντική διαφορά σε σύγκριση με το επεισόδιο </w:t>
      </w:r>
      <w:r w:rsidRPr="000E347F">
        <w:rPr>
          <w:rFonts w:ascii="Arial" w:hAnsi="Arial" w:cs="Arial"/>
          <w:sz w:val="22"/>
          <w:szCs w:val="22"/>
          <w:lang w:val="el-GR"/>
        </w:rPr>
        <w:t xml:space="preserve">του </w:t>
      </w:r>
      <w:r w:rsidRPr="000E347F">
        <w:rPr>
          <w:rFonts w:ascii="Arial" w:hAnsi="Arial" w:cs="Arial"/>
          <w:sz w:val="22"/>
          <w:szCs w:val="22"/>
        </w:rPr>
        <w:t xml:space="preserve">2021-2022: </w:t>
      </w:r>
      <w:r w:rsidRPr="000E347F">
        <w:rPr>
          <w:rFonts w:ascii="Arial" w:hAnsi="Arial" w:cs="Arial"/>
          <w:sz w:val="22"/>
          <w:szCs w:val="22"/>
          <w:lang w:val="el-GR"/>
        </w:rPr>
        <w:t xml:space="preserve">ξεκινάμε από </w:t>
      </w:r>
      <w:r w:rsidRPr="000E347F">
        <w:rPr>
          <w:rFonts w:ascii="Arial" w:hAnsi="Arial" w:cs="Arial"/>
          <w:sz w:val="22"/>
          <w:szCs w:val="22"/>
        </w:rPr>
        <w:t xml:space="preserve">ισχυρότερη αρχική θέση. </w:t>
      </w:r>
      <w:r w:rsidRPr="000E347F">
        <w:rPr>
          <w:rFonts w:ascii="Arial" w:hAnsi="Arial" w:cs="Arial"/>
          <w:sz w:val="22"/>
          <w:szCs w:val="22"/>
          <w:lang w:val="el-GR"/>
        </w:rPr>
        <w:t>Και θα εξηγήσω γιατί</w:t>
      </w:r>
      <w:r w:rsidRPr="000E347F">
        <w:rPr>
          <w:rFonts w:ascii="Arial" w:hAnsi="Arial" w:cs="Arial"/>
          <w:sz w:val="22"/>
          <w:szCs w:val="22"/>
        </w:rPr>
        <w:t>:</w:t>
      </w:r>
      <w:r w:rsidRPr="000E347F">
        <w:rPr>
          <w:rFonts w:ascii="Arial" w:hAnsi="Arial" w:cs="Arial"/>
          <w:sz w:val="22"/>
          <w:szCs w:val="22"/>
          <w:lang w:val="el-GR"/>
        </w:rPr>
        <w:t xml:space="preserve"> </w:t>
      </w:r>
    </w:p>
    <w:p w14:paraId="38E4229A" w14:textId="77777777" w:rsidR="000E347F" w:rsidRPr="000E347F" w:rsidRDefault="000E347F" w:rsidP="000E347F">
      <w:pPr>
        <w:spacing w:before="120" w:line="360" w:lineRule="auto"/>
        <w:jc w:val="both"/>
        <w:rPr>
          <w:iCs/>
          <w:color w:val="auto"/>
          <w:sz w:val="22"/>
          <w:szCs w:val="22"/>
          <w:lang w:val="el-GR"/>
        </w:rPr>
      </w:pPr>
      <w:r w:rsidRPr="000E347F">
        <w:rPr>
          <w:color w:val="auto"/>
          <w:sz w:val="22"/>
          <w:szCs w:val="22"/>
          <w:lang w:val="el-GR"/>
        </w:rPr>
        <w:t xml:space="preserve">Μέχρι μόλις πριν από λίγες εβδομάδες, η ΕΚΤ χαρακτήριζε την </w:t>
      </w:r>
      <w:proofErr w:type="spellStart"/>
      <w:r w:rsidRPr="000E347F">
        <w:rPr>
          <w:color w:val="auto"/>
          <w:sz w:val="22"/>
          <w:szCs w:val="22"/>
          <w:lang w:val="el-GR"/>
        </w:rPr>
        <w:t>καταλληλότητα</w:t>
      </w:r>
      <w:proofErr w:type="spellEnd"/>
      <w:r w:rsidRPr="000E347F">
        <w:rPr>
          <w:color w:val="auto"/>
          <w:sz w:val="22"/>
          <w:szCs w:val="22"/>
          <w:lang w:val="el-GR"/>
        </w:rPr>
        <w:t xml:space="preserve"> της κατεύθυνσης της πολιτικής της με  τη φράση «Είμαστε σε καλό σημείο». Πλέον όμως βρισκόμαστε σε λιγότερο καλό σημείο επειδή είμαστε εκτεθειμένοι σε αυξημένους κινδύνους. Τούτου </w:t>
      </w:r>
      <w:proofErr w:type="spellStart"/>
      <w:r w:rsidRPr="000E347F">
        <w:rPr>
          <w:color w:val="auto"/>
          <w:sz w:val="22"/>
          <w:szCs w:val="22"/>
          <w:lang w:val="el-GR"/>
        </w:rPr>
        <w:t>λεχθέντος</w:t>
      </w:r>
      <w:proofErr w:type="spellEnd"/>
      <w:r w:rsidRPr="000E347F">
        <w:rPr>
          <w:color w:val="auto"/>
          <w:sz w:val="22"/>
          <w:szCs w:val="22"/>
          <w:lang w:val="el-GR"/>
        </w:rPr>
        <w:t xml:space="preserve">, είναι σημαντικό να επισημάνουμε ότι ξεκινάμε από μια στέρεα βάση και εξακολουθούμε να είμαστε σε θέση να πορευθούμε μέσα στην αβεβαιότητα που χαρακτηρίζει τις μελλοντικές εξελίξεις. </w:t>
      </w:r>
    </w:p>
    <w:p w14:paraId="23103128" w14:textId="77777777" w:rsidR="000E347F" w:rsidRPr="000E347F" w:rsidRDefault="000E347F" w:rsidP="000E347F">
      <w:pPr>
        <w:pStyle w:val="P68B1DB1-ListParagraph4"/>
        <w:numPr>
          <w:ilvl w:val="0"/>
          <w:numId w:val="7"/>
        </w:numPr>
        <w:spacing w:before="120" w:line="360" w:lineRule="auto"/>
        <w:jc w:val="both"/>
        <w:rPr>
          <w:rFonts w:ascii="Arial" w:hAnsi="Arial" w:cs="Arial"/>
          <w:iCs/>
          <w:sz w:val="22"/>
          <w:szCs w:val="22"/>
        </w:rPr>
      </w:pPr>
      <w:r w:rsidRPr="000E347F">
        <w:rPr>
          <w:rFonts w:ascii="Arial" w:hAnsi="Arial" w:cs="Arial"/>
          <w:sz w:val="22"/>
          <w:szCs w:val="22"/>
        </w:rPr>
        <w:t>Ο πληθωρισμός στη ζώνη του ευρώ κυμαίνεται γύρω από τον στόχο του 2% εδώ και σχεδόν ένα έτος</w:t>
      </w:r>
      <w:r w:rsidRPr="000E347F">
        <w:rPr>
          <w:rFonts w:ascii="Arial" w:hAnsi="Arial" w:cs="Arial"/>
          <w:sz w:val="22"/>
          <w:szCs w:val="22"/>
          <w:lang w:val="el-GR"/>
        </w:rPr>
        <w:t>,</w:t>
      </w:r>
      <w:r w:rsidRPr="000E347F">
        <w:rPr>
          <w:rFonts w:ascii="Arial" w:hAnsi="Arial" w:cs="Arial"/>
          <w:sz w:val="22"/>
          <w:szCs w:val="22"/>
        </w:rPr>
        <w:t xml:space="preserve"> και</w:t>
      </w:r>
      <w:r w:rsidRPr="000E347F">
        <w:rPr>
          <w:rFonts w:ascii="Arial" w:hAnsi="Arial" w:cs="Arial"/>
          <w:sz w:val="22"/>
          <w:szCs w:val="22"/>
          <w:lang w:val="el-GR"/>
        </w:rPr>
        <w:t xml:space="preserve"> μάλιστα</w:t>
      </w:r>
      <w:r w:rsidRPr="000E347F">
        <w:rPr>
          <w:rFonts w:ascii="Arial" w:hAnsi="Arial" w:cs="Arial"/>
          <w:sz w:val="22"/>
          <w:szCs w:val="22"/>
        </w:rPr>
        <w:t xml:space="preserve"> υπολείπεται ελαφρώς του συμμετρικού στόχου μας τους </w:t>
      </w:r>
      <w:r w:rsidRPr="000E347F">
        <w:rPr>
          <w:rFonts w:ascii="Arial" w:hAnsi="Arial" w:cs="Arial"/>
          <w:sz w:val="22"/>
          <w:szCs w:val="22"/>
        </w:rPr>
        <w:lastRenderedPageBreak/>
        <w:t xml:space="preserve">δύο πρώτους μήνες του </w:t>
      </w:r>
      <w:r w:rsidRPr="000E347F">
        <w:rPr>
          <w:rFonts w:ascii="Arial" w:hAnsi="Arial" w:cs="Arial"/>
          <w:sz w:val="22"/>
          <w:szCs w:val="22"/>
          <w:lang w:val="el-GR"/>
        </w:rPr>
        <w:t>2026</w:t>
      </w:r>
      <w:r w:rsidRPr="000E347F">
        <w:rPr>
          <w:rFonts w:ascii="Arial" w:hAnsi="Arial" w:cs="Arial"/>
          <w:sz w:val="22"/>
          <w:szCs w:val="22"/>
        </w:rPr>
        <w:t xml:space="preserve">. Αυτό παρέχει </w:t>
      </w:r>
      <w:r w:rsidRPr="000E347F">
        <w:rPr>
          <w:rFonts w:ascii="Arial" w:hAnsi="Arial" w:cs="Arial"/>
          <w:sz w:val="22"/>
          <w:szCs w:val="22"/>
          <w:lang w:val="el-GR"/>
        </w:rPr>
        <w:t>κάποιο περιθώριο</w:t>
      </w:r>
      <w:r w:rsidRPr="000E347F">
        <w:rPr>
          <w:rFonts w:ascii="Arial" w:hAnsi="Arial" w:cs="Arial"/>
          <w:sz w:val="22"/>
          <w:szCs w:val="22"/>
        </w:rPr>
        <w:t xml:space="preserve"> για </w:t>
      </w:r>
      <w:r w:rsidRPr="000E347F">
        <w:rPr>
          <w:rFonts w:ascii="Arial" w:hAnsi="Arial" w:cs="Arial"/>
          <w:sz w:val="22"/>
          <w:szCs w:val="22"/>
          <w:lang w:val="el-GR"/>
        </w:rPr>
        <w:t xml:space="preserve">μια </w:t>
      </w:r>
      <w:r w:rsidRPr="000E347F">
        <w:rPr>
          <w:rFonts w:ascii="Arial" w:hAnsi="Arial" w:cs="Arial"/>
          <w:sz w:val="22"/>
          <w:szCs w:val="22"/>
        </w:rPr>
        <w:t xml:space="preserve">μελλοντική </w:t>
      </w:r>
      <w:proofErr w:type="spellStart"/>
      <w:r w:rsidRPr="000E347F">
        <w:rPr>
          <w:rFonts w:ascii="Arial" w:hAnsi="Arial" w:cs="Arial"/>
          <w:sz w:val="22"/>
          <w:szCs w:val="22"/>
        </w:rPr>
        <w:t>αυστηροποίηση</w:t>
      </w:r>
      <w:proofErr w:type="spellEnd"/>
      <w:r w:rsidRPr="000E347F">
        <w:rPr>
          <w:rFonts w:ascii="Arial" w:hAnsi="Arial" w:cs="Arial"/>
          <w:sz w:val="22"/>
          <w:szCs w:val="22"/>
        </w:rPr>
        <w:t xml:space="preserve"> των επιτοκίων. Επιπλέον, η ανάπτυξη της ζώνης του ευρώ </w:t>
      </w:r>
      <w:r w:rsidRPr="000E347F">
        <w:rPr>
          <w:rFonts w:ascii="Arial" w:hAnsi="Arial" w:cs="Arial"/>
          <w:sz w:val="22"/>
          <w:szCs w:val="22"/>
          <w:lang w:val="el-GR"/>
        </w:rPr>
        <w:t>αποδεικνύεται</w:t>
      </w:r>
      <w:r w:rsidRPr="000E347F">
        <w:rPr>
          <w:rFonts w:ascii="Arial" w:hAnsi="Arial" w:cs="Arial"/>
          <w:sz w:val="22"/>
          <w:szCs w:val="22"/>
        </w:rPr>
        <w:t xml:space="preserve"> ανθεκτική. Αντιθέτως, όταν η ΕΚΤ ξεκίνησε τον κύκλο </w:t>
      </w:r>
      <w:proofErr w:type="spellStart"/>
      <w:r w:rsidRPr="000E347F">
        <w:rPr>
          <w:rFonts w:ascii="Arial" w:hAnsi="Arial" w:cs="Arial"/>
          <w:sz w:val="22"/>
          <w:szCs w:val="22"/>
        </w:rPr>
        <w:t>αυστηροποίησης</w:t>
      </w:r>
      <w:proofErr w:type="spellEnd"/>
      <w:r w:rsidRPr="000E347F">
        <w:rPr>
          <w:rFonts w:ascii="Arial" w:hAnsi="Arial" w:cs="Arial"/>
          <w:sz w:val="22"/>
          <w:szCs w:val="22"/>
        </w:rPr>
        <w:t xml:space="preserve"> της νομισματικής πολιτικής τον Ιούλιο του 2022, ο ρυθμός πληθωρισμού τον Ιούνιο του 2022, που ήταν το πιο πρόσφατο διαθέσιμο </w:t>
      </w:r>
      <w:r w:rsidRPr="000E347F">
        <w:rPr>
          <w:rFonts w:ascii="Arial" w:hAnsi="Arial" w:cs="Arial"/>
          <w:sz w:val="22"/>
          <w:szCs w:val="22"/>
          <w:lang w:val="el-GR"/>
        </w:rPr>
        <w:t>στοιχείο</w:t>
      </w:r>
      <w:r w:rsidRPr="000E347F">
        <w:rPr>
          <w:rFonts w:ascii="Arial" w:hAnsi="Arial" w:cs="Arial"/>
          <w:sz w:val="22"/>
          <w:szCs w:val="22"/>
        </w:rPr>
        <w:t xml:space="preserve">, </w:t>
      </w:r>
      <w:r w:rsidRPr="000E347F">
        <w:rPr>
          <w:rFonts w:ascii="Arial" w:hAnsi="Arial" w:cs="Arial"/>
          <w:sz w:val="22"/>
          <w:szCs w:val="22"/>
          <w:lang w:val="el-GR"/>
        </w:rPr>
        <w:t xml:space="preserve">ήταν </w:t>
      </w:r>
      <w:r w:rsidRPr="000E347F">
        <w:rPr>
          <w:rFonts w:ascii="Arial" w:hAnsi="Arial" w:cs="Arial"/>
          <w:sz w:val="22"/>
          <w:szCs w:val="22"/>
        </w:rPr>
        <w:t xml:space="preserve">8,6%. </w:t>
      </w:r>
    </w:p>
    <w:p w14:paraId="3F3AA2C0" w14:textId="77777777" w:rsidR="000E347F" w:rsidRPr="000E347F" w:rsidRDefault="000E347F" w:rsidP="000E347F">
      <w:pPr>
        <w:pStyle w:val="P68B1DB1-ListParagraph4"/>
        <w:numPr>
          <w:ilvl w:val="0"/>
          <w:numId w:val="7"/>
        </w:numPr>
        <w:spacing w:before="120" w:line="360" w:lineRule="auto"/>
        <w:jc w:val="both"/>
        <w:rPr>
          <w:rFonts w:ascii="Arial" w:hAnsi="Arial" w:cs="Arial"/>
          <w:iCs/>
          <w:sz w:val="22"/>
          <w:szCs w:val="22"/>
        </w:rPr>
      </w:pPr>
      <w:r w:rsidRPr="000E347F">
        <w:rPr>
          <w:rFonts w:ascii="Arial" w:hAnsi="Arial" w:cs="Arial"/>
          <w:sz w:val="22"/>
          <w:szCs w:val="22"/>
        </w:rPr>
        <w:t xml:space="preserve">Το Διοικητικό Συμβούλιο είχε αυξήσει το επιτόκιο πολιτικής, </w:t>
      </w:r>
      <w:r w:rsidRPr="000E347F">
        <w:rPr>
          <w:rFonts w:ascii="Arial" w:hAnsi="Arial" w:cs="Arial"/>
          <w:sz w:val="22"/>
          <w:szCs w:val="22"/>
          <w:lang w:val="el-GR"/>
        </w:rPr>
        <w:t xml:space="preserve">δηλ. </w:t>
      </w:r>
      <w:r w:rsidRPr="000E347F">
        <w:rPr>
          <w:rFonts w:ascii="Arial" w:hAnsi="Arial" w:cs="Arial"/>
          <w:sz w:val="22"/>
          <w:szCs w:val="22"/>
        </w:rPr>
        <w:t>το επιτόκιο διευκόλυνσης αποδοχής καταθέσεων (DFR), από -50 μονάδες βάσης σε 0%. Η σημερινή κατεύθυνση της νομισματικής πολιτικής είναι πολύ διαφορετική: το επιτόκιο της διευκόλυνσης αποδοχής καταθέσεων</w:t>
      </w:r>
      <w:r w:rsidRPr="000E347F">
        <w:rPr>
          <w:rFonts w:ascii="Arial" w:hAnsi="Arial" w:cs="Arial"/>
          <w:sz w:val="22"/>
          <w:szCs w:val="22"/>
          <w:lang w:val="el-GR"/>
        </w:rPr>
        <w:t xml:space="preserve">, </w:t>
      </w:r>
      <w:r w:rsidRPr="000E347F">
        <w:rPr>
          <w:rFonts w:ascii="Arial" w:hAnsi="Arial" w:cs="Arial"/>
          <w:sz w:val="22"/>
          <w:szCs w:val="22"/>
        </w:rPr>
        <w:t xml:space="preserve">σήμερα στο 2,0%, βρίσκεται σε ουδέτερο </w:t>
      </w:r>
      <w:r w:rsidRPr="000E347F">
        <w:rPr>
          <w:rFonts w:ascii="Arial" w:hAnsi="Arial" w:cs="Arial"/>
          <w:sz w:val="22"/>
          <w:szCs w:val="22"/>
          <w:lang w:val="el-GR"/>
        </w:rPr>
        <w:t>επίπεδο</w:t>
      </w:r>
      <w:r w:rsidRPr="000E347F">
        <w:rPr>
          <w:rFonts w:ascii="Arial" w:hAnsi="Arial" w:cs="Arial"/>
          <w:sz w:val="22"/>
          <w:szCs w:val="22"/>
        </w:rPr>
        <w:t xml:space="preserve">. </w:t>
      </w:r>
    </w:p>
    <w:p w14:paraId="478263B6" w14:textId="77777777" w:rsidR="000E347F" w:rsidRPr="000E347F" w:rsidRDefault="000E347F" w:rsidP="000E347F">
      <w:pPr>
        <w:pStyle w:val="P68B1DB1-ListParagraph4"/>
        <w:numPr>
          <w:ilvl w:val="0"/>
          <w:numId w:val="7"/>
        </w:numPr>
        <w:spacing w:before="120" w:line="360" w:lineRule="auto"/>
        <w:jc w:val="both"/>
        <w:rPr>
          <w:rFonts w:ascii="Arial" w:hAnsi="Arial" w:cs="Arial"/>
          <w:iCs/>
          <w:sz w:val="22"/>
          <w:szCs w:val="22"/>
        </w:rPr>
      </w:pPr>
      <w:r w:rsidRPr="000E347F">
        <w:rPr>
          <w:rFonts w:ascii="Arial" w:hAnsi="Arial" w:cs="Arial"/>
          <w:sz w:val="22"/>
          <w:szCs w:val="22"/>
        </w:rPr>
        <w:t xml:space="preserve">Επιπλέον, στα μέσα του 2022 ο ισολογισμός </w:t>
      </w:r>
      <w:r w:rsidRPr="000E347F">
        <w:rPr>
          <w:rFonts w:ascii="Arial" w:hAnsi="Arial" w:cs="Arial"/>
          <w:sz w:val="22"/>
          <w:szCs w:val="22"/>
          <w:lang w:val="el-GR"/>
        </w:rPr>
        <w:t xml:space="preserve">της ΕΚΤ δημιουργούσε συνθήκες </w:t>
      </w:r>
      <w:proofErr w:type="spellStart"/>
      <w:r w:rsidRPr="000E347F">
        <w:rPr>
          <w:rFonts w:ascii="Arial" w:hAnsi="Arial" w:cs="Arial"/>
          <w:sz w:val="22"/>
          <w:szCs w:val="22"/>
          <w:lang w:val="el-GR"/>
        </w:rPr>
        <w:t>διευκολυντικής</w:t>
      </w:r>
      <w:proofErr w:type="spellEnd"/>
      <w:r w:rsidRPr="000E347F">
        <w:rPr>
          <w:rFonts w:ascii="Arial" w:hAnsi="Arial" w:cs="Arial"/>
          <w:sz w:val="22"/>
          <w:szCs w:val="22"/>
          <w:lang w:val="el-GR"/>
        </w:rPr>
        <w:t xml:space="preserve"> </w:t>
      </w:r>
      <w:r w:rsidRPr="000E347F">
        <w:rPr>
          <w:rFonts w:ascii="Arial" w:hAnsi="Arial" w:cs="Arial"/>
          <w:sz w:val="22"/>
          <w:szCs w:val="22"/>
        </w:rPr>
        <w:t>νομισματική</w:t>
      </w:r>
      <w:r w:rsidRPr="000E347F">
        <w:rPr>
          <w:rFonts w:ascii="Arial" w:hAnsi="Arial" w:cs="Arial"/>
          <w:sz w:val="22"/>
          <w:szCs w:val="22"/>
          <w:lang w:val="el-GR"/>
        </w:rPr>
        <w:t>ς πολιτικής</w:t>
      </w:r>
      <w:r w:rsidRPr="000E347F">
        <w:rPr>
          <w:rFonts w:ascii="Arial" w:hAnsi="Arial" w:cs="Arial"/>
          <w:sz w:val="22"/>
          <w:szCs w:val="22"/>
        </w:rPr>
        <w:t>, καθώς οι αγορές τίτλων είχαν μόλις</w:t>
      </w:r>
      <w:r w:rsidRPr="000E347F">
        <w:rPr>
          <w:rFonts w:ascii="Arial" w:hAnsi="Arial" w:cs="Arial"/>
          <w:sz w:val="22"/>
          <w:szCs w:val="22"/>
          <w:lang w:val="el-GR"/>
        </w:rPr>
        <w:t xml:space="preserve"> τερματιστεί</w:t>
      </w:r>
      <w:r w:rsidRPr="000E347F">
        <w:rPr>
          <w:rFonts w:ascii="Arial" w:hAnsi="Arial" w:cs="Arial"/>
          <w:sz w:val="22"/>
          <w:szCs w:val="22"/>
        </w:rPr>
        <w:t xml:space="preserve">, </w:t>
      </w:r>
      <w:r w:rsidRPr="000E347F">
        <w:rPr>
          <w:rFonts w:ascii="Arial" w:hAnsi="Arial" w:cs="Arial"/>
          <w:sz w:val="22"/>
          <w:szCs w:val="22"/>
          <w:lang w:val="el-GR"/>
        </w:rPr>
        <w:t xml:space="preserve">αλλά </w:t>
      </w:r>
      <w:r w:rsidRPr="000E347F">
        <w:rPr>
          <w:rFonts w:ascii="Arial" w:hAnsi="Arial" w:cs="Arial"/>
          <w:sz w:val="22"/>
          <w:szCs w:val="22"/>
        </w:rPr>
        <w:t xml:space="preserve">οι επανεπενδύσεις </w:t>
      </w:r>
      <w:r w:rsidRPr="000E347F">
        <w:rPr>
          <w:rFonts w:ascii="Arial" w:hAnsi="Arial" w:cs="Arial"/>
          <w:sz w:val="22"/>
          <w:szCs w:val="22"/>
          <w:lang w:val="el-GR"/>
        </w:rPr>
        <w:t>συνεχίζονταν</w:t>
      </w:r>
      <w:r w:rsidRPr="000E347F">
        <w:rPr>
          <w:rFonts w:ascii="Arial" w:hAnsi="Arial" w:cs="Arial"/>
          <w:sz w:val="22"/>
          <w:szCs w:val="22"/>
        </w:rPr>
        <w:t xml:space="preserve">. Σήμερα, η </w:t>
      </w:r>
      <w:r w:rsidRPr="000E347F">
        <w:rPr>
          <w:rFonts w:ascii="Arial" w:hAnsi="Arial" w:cs="Arial"/>
          <w:sz w:val="22"/>
          <w:szCs w:val="22"/>
          <w:lang w:val="el-GR"/>
        </w:rPr>
        <w:t xml:space="preserve">διαδικασία ομαλοποίησης </w:t>
      </w:r>
      <w:r w:rsidRPr="000E347F">
        <w:rPr>
          <w:rFonts w:ascii="Arial" w:hAnsi="Arial" w:cs="Arial"/>
          <w:sz w:val="22"/>
          <w:szCs w:val="22"/>
        </w:rPr>
        <w:t xml:space="preserve">του ισολογισμού βρίσκεται σε </w:t>
      </w:r>
      <w:r w:rsidRPr="000E347F">
        <w:rPr>
          <w:rFonts w:ascii="Arial" w:hAnsi="Arial" w:cs="Arial"/>
          <w:sz w:val="22"/>
          <w:szCs w:val="22"/>
          <w:lang w:val="el-GR"/>
        </w:rPr>
        <w:t>πλήρη εξέλιξη</w:t>
      </w:r>
      <w:r w:rsidRPr="000E347F">
        <w:rPr>
          <w:rFonts w:ascii="Arial" w:hAnsi="Arial" w:cs="Arial"/>
          <w:sz w:val="22"/>
          <w:szCs w:val="22"/>
        </w:rPr>
        <w:t>.</w:t>
      </w:r>
    </w:p>
    <w:p w14:paraId="70380D4A" w14:textId="77777777" w:rsidR="000E347F" w:rsidRPr="000E347F" w:rsidRDefault="000E347F" w:rsidP="000E347F">
      <w:pPr>
        <w:pStyle w:val="P68B1DB1-Normal2"/>
        <w:spacing w:before="120" w:line="360" w:lineRule="auto"/>
        <w:jc w:val="both"/>
        <w:rPr>
          <w:rFonts w:ascii="Arial" w:hAnsi="Arial" w:cs="Arial"/>
          <w:sz w:val="22"/>
          <w:szCs w:val="22"/>
          <w:lang w:val="el-GR"/>
        </w:rPr>
      </w:pPr>
    </w:p>
    <w:p w14:paraId="3162B75C" w14:textId="77777777" w:rsidR="000E347F" w:rsidRPr="000E347F" w:rsidRDefault="000E347F" w:rsidP="000E347F">
      <w:pPr>
        <w:pStyle w:val="P68B1DB1-Normal2"/>
        <w:spacing w:before="120" w:line="360" w:lineRule="auto"/>
        <w:jc w:val="both"/>
        <w:rPr>
          <w:rFonts w:ascii="Arial" w:hAnsi="Arial" w:cs="Arial"/>
          <w:iCs/>
          <w:sz w:val="22"/>
          <w:szCs w:val="22"/>
        </w:rPr>
      </w:pPr>
      <w:r w:rsidRPr="000E347F">
        <w:rPr>
          <w:rFonts w:ascii="Arial" w:hAnsi="Arial" w:cs="Arial"/>
          <w:sz w:val="22"/>
          <w:szCs w:val="22"/>
          <w:lang w:val="el-GR"/>
        </w:rPr>
        <w:t>Αλλά και τ</w:t>
      </w:r>
      <w:r w:rsidRPr="000E347F">
        <w:rPr>
          <w:rFonts w:ascii="Arial" w:hAnsi="Arial" w:cs="Arial"/>
          <w:sz w:val="22"/>
          <w:szCs w:val="22"/>
        </w:rPr>
        <w:t xml:space="preserve">ο Διοικητικό Συμβούλιο είναι καλύτερα εξοπλισμένο αυτή τη φορά. Τα τελευταία τέσσερα χρόνια βελτιώσαμε τα αναλυτικά μας εργαλεία, επαναξιολογήσαμε τη στρατηγική μας και εστιάσαμε περισσότερο στους κινδύνους που περιβάλλουν τις προοπτικές, μεταξύ άλλων χρησιμοποιώντας σενάρια και αναλύσεις ευαισθησίας. Έτσι διασφαλίζεται ότι </w:t>
      </w:r>
      <w:r w:rsidRPr="000E347F">
        <w:rPr>
          <w:rFonts w:ascii="Arial" w:hAnsi="Arial" w:cs="Arial"/>
          <w:sz w:val="22"/>
          <w:szCs w:val="22"/>
          <w:lang w:val="el-GR"/>
        </w:rPr>
        <w:t xml:space="preserve">έχουμε καλή πληροφόρηση όταν αξιολογούμε την κατάσταση </w:t>
      </w:r>
      <w:r w:rsidRPr="000E347F">
        <w:rPr>
          <w:rFonts w:ascii="Arial" w:hAnsi="Arial" w:cs="Arial"/>
          <w:sz w:val="22"/>
          <w:szCs w:val="22"/>
        </w:rPr>
        <w:t>και ότι κατανοούμε καλύτερα τη δυναμική της μετάδοσης σε έμμεσες και δευτερογενείς επιδράσεις.</w:t>
      </w:r>
    </w:p>
    <w:p w14:paraId="3321186B" w14:textId="77777777" w:rsidR="000E347F" w:rsidRPr="000E347F" w:rsidRDefault="000E347F" w:rsidP="000E347F">
      <w:pPr>
        <w:pStyle w:val="P68B1DB1-Normal2"/>
        <w:tabs>
          <w:tab w:val="left" w:pos="426"/>
        </w:tabs>
        <w:spacing w:before="120" w:line="360" w:lineRule="auto"/>
        <w:jc w:val="both"/>
        <w:rPr>
          <w:rFonts w:ascii="Arial" w:hAnsi="Arial" w:cs="Arial"/>
          <w:sz w:val="22"/>
          <w:szCs w:val="22"/>
        </w:rPr>
      </w:pPr>
      <w:r w:rsidRPr="000E347F">
        <w:rPr>
          <w:rFonts w:ascii="Arial" w:hAnsi="Arial" w:cs="Arial"/>
          <w:sz w:val="22"/>
          <w:szCs w:val="22"/>
        </w:rPr>
        <w:t>Προτού αναφερθώ στο ευρύτερο τοπίο</w:t>
      </w:r>
      <w:r w:rsidRPr="000E347F">
        <w:rPr>
          <w:rFonts w:ascii="Arial" w:hAnsi="Arial" w:cs="Arial"/>
          <w:sz w:val="22"/>
          <w:szCs w:val="22"/>
          <w:lang w:val="el-GR"/>
        </w:rPr>
        <w:t xml:space="preserve"> της πολιτικής</w:t>
      </w:r>
      <w:r w:rsidRPr="000E347F">
        <w:rPr>
          <w:rFonts w:ascii="Arial" w:hAnsi="Arial" w:cs="Arial"/>
          <w:sz w:val="22"/>
          <w:szCs w:val="22"/>
        </w:rPr>
        <w:t xml:space="preserve">, </w:t>
      </w:r>
      <w:r w:rsidRPr="000E347F">
        <w:rPr>
          <w:rFonts w:ascii="Arial" w:hAnsi="Arial" w:cs="Arial"/>
          <w:sz w:val="22"/>
          <w:szCs w:val="22"/>
          <w:lang w:val="el-GR"/>
        </w:rPr>
        <w:t xml:space="preserve">θέλω </w:t>
      </w:r>
      <w:r w:rsidRPr="000E347F">
        <w:rPr>
          <w:rFonts w:ascii="Arial" w:hAnsi="Arial" w:cs="Arial"/>
          <w:sz w:val="22"/>
          <w:szCs w:val="22"/>
        </w:rPr>
        <w:t xml:space="preserve">να ολοκληρώσω την αξιολόγησή μου με την παρατήρηση ότι η νομισματική πολιτική κατόρθωσε, </w:t>
      </w:r>
      <w:r w:rsidRPr="000E347F">
        <w:rPr>
          <w:rFonts w:ascii="Arial" w:hAnsi="Arial" w:cs="Arial"/>
          <w:sz w:val="22"/>
          <w:szCs w:val="22"/>
          <w:lang w:val="el-GR"/>
        </w:rPr>
        <w:t>παρά τις σοβαρές αντιξοότητες</w:t>
      </w:r>
      <w:r w:rsidRPr="000E347F">
        <w:rPr>
          <w:rFonts w:ascii="Arial" w:hAnsi="Arial" w:cs="Arial"/>
          <w:sz w:val="22"/>
          <w:szCs w:val="22"/>
        </w:rPr>
        <w:t xml:space="preserve">, να επιτύχει σταθερότητα των τιμών. Πέτυχε τον στόχο της για τον πληθωρισμό χωρίς να προκαλέσει ύφεση ή να δημιουργήσει προβλήματα </w:t>
      </w:r>
      <w:r w:rsidRPr="000E347F">
        <w:rPr>
          <w:rFonts w:ascii="Arial" w:hAnsi="Arial" w:cs="Arial"/>
          <w:sz w:val="22"/>
          <w:szCs w:val="22"/>
          <w:lang w:val="el-GR"/>
        </w:rPr>
        <w:t xml:space="preserve">στη </w:t>
      </w:r>
      <w:r w:rsidRPr="000E347F">
        <w:rPr>
          <w:rFonts w:ascii="Arial" w:hAnsi="Arial" w:cs="Arial"/>
          <w:sz w:val="22"/>
          <w:szCs w:val="22"/>
        </w:rPr>
        <w:t xml:space="preserve">χρηματοπιστωτική σταθερότητα. Η ΕΚΤ </w:t>
      </w:r>
      <w:r w:rsidRPr="000E347F">
        <w:rPr>
          <w:rFonts w:ascii="Arial" w:hAnsi="Arial" w:cs="Arial"/>
          <w:sz w:val="22"/>
          <w:szCs w:val="22"/>
          <w:lang w:val="el-GR"/>
        </w:rPr>
        <w:t xml:space="preserve">είναι μία από τις σχετικά λίγες κεντρικές τράπεζες </w:t>
      </w:r>
      <w:r w:rsidRPr="000E347F">
        <w:rPr>
          <w:rFonts w:ascii="Arial" w:hAnsi="Arial" w:cs="Arial"/>
          <w:sz w:val="22"/>
          <w:szCs w:val="22"/>
        </w:rPr>
        <w:t xml:space="preserve">που κατόρθωσαν να επαναφέρουν τον πληθωρισμό στον στόχο, επιτυγχάνοντας παράλληλα «ομαλή προσγείωση». </w:t>
      </w:r>
    </w:p>
    <w:p w14:paraId="17B28C1A" w14:textId="77777777" w:rsidR="000E347F" w:rsidRPr="000E347F" w:rsidRDefault="000E347F" w:rsidP="000E347F">
      <w:pPr>
        <w:spacing w:before="120" w:line="360" w:lineRule="auto"/>
        <w:jc w:val="both"/>
        <w:rPr>
          <w:iCs/>
          <w:color w:val="auto"/>
          <w:sz w:val="22"/>
          <w:szCs w:val="22"/>
          <w:lang w:val="el-GR"/>
        </w:rPr>
      </w:pPr>
    </w:p>
    <w:p w14:paraId="37B58302" w14:textId="77777777" w:rsidR="000E347F" w:rsidRPr="000E347F" w:rsidRDefault="000E347F" w:rsidP="000E347F">
      <w:pPr>
        <w:pStyle w:val="P68B1DB1-Normal3"/>
        <w:tabs>
          <w:tab w:val="left" w:pos="426"/>
        </w:tabs>
        <w:spacing w:before="120" w:line="360" w:lineRule="auto"/>
        <w:jc w:val="both"/>
        <w:rPr>
          <w:rFonts w:ascii="Arial" w:hAnsi="Arial" w:cs="Arial"/>
          <w:sz w:val="22"/>
          <w:szCs w:val="22"/>
        </w:rPr>
      </w:pPr>
      <w:r w:rsidRPr="000E347F">
        <w:rPr>
          <w:rFonts w:ascii="Arial" w:hAnsi="Arial" w:cs="Arial"/>
          <w:sz w:val="22"/>
          <w:szCs w:val="22"/>
        </w:rPr>
        <w:t xml:space="preserve">2. </w:t>
      </w:r>
      <w:r w:rsidRPr="000E347F">
        <w:rPr>
          <w:rFonts w:ascii="Arial" w:hAnsi="Arial" w:cs="Arial"/>
          <w:sz w:val="22"/>
          <w:szCs w:val="22"/>
          <w:lang w:val="el-GR"/>
        </w:rPr>
        <w:t>Γενικότερα θέματα ευρωπαϊκής πολιτικής</w:t>
      </w:r>
      <w:r w:rsidRPr="000E347F">
        <w:rPr>
          <w:rFonts w:ascii="Arial" w:hAnsi="Arial" w:cs="Arial"/>
          <w:sz w:val="22"/>
          <w:szCs w:val="22"/>
        </w:rPr>
        <w:t xml:space="preserve"> </w:t>
      </w:r>
    </w:p>
    <w:p w14:paraId="496FBB18" w14:textId="77777777" w:rsidR="000E347F" w:rsidRPr="000E347F" w:rsidRDefault="000E347F" w:rsidP="000E347F">
      <w:pPr>
        <w:pStyle w:val="P68B1DB1-Normal2"/>
        <w:tabs>
          <w:tab w:val="left" w:pos="426"/>
        </w:tabs>
        <w:spacing w:before="120" w:line="360" w:lineRule="auto"/>
        <w:jc w:val="both"/>
        <w:rPr>
          <w:rFonts w:ascii="Arial" w:hAnsi="Arial" w:cs="Arial"/>
          <w:iCs/>
          <w:sz w:val="22"/>
          <w:szCs w:val="22"/>
        </w:rPr>
      </w:pPr>
      <w:r w:rsidRPr="000E347F">
        <w:rPr>
          <w:rFonts w:ascii="Arial" w:hAnsi="Arial" w:cs="Arial"/>
          <w:sz w:val="22"/>
          <w:szCs w:val="22"/>
        </w:rPr>
        <w:t xml:space="preserve">Οι θετικές επιδόσεις της νομισματικής πολιτικής της ΕΚΤ είναι ακόμη πιο εντυπωσιακές </w:t>
      </w:r>
      <w:r w:rsidRPr="000E347F">
        <w:rPr>
          <w:rFonts w:ascii="Arial" w:hAnsi="Arial" w:cs="Arial"/>
          <w:sz w:val="22"/>
          <w:szCs w:val="22"/>
          <w:lang w:val="el-GR"/>
        </w:rPr>
        <w:t>αν</w:t>
      </w:r>
      <w:r w:rsidRPr="000E347F">
        <w:rPr>
          <w:rFonts w:ascii="Arial" w:hAnsi="Arial" w:cs="Arial"/>
          <w:sz w:val="22"/>
          <w:szCs w:val="22"/>
        </w:rPr>
        <w:t xml:space="preserve"> εξεταστούν στο πλαίσιο του επίμονου κατακερματισμού εντός της ζώνης του ευρώ και των</w:t>
      </w:r>
      <w:r w:rsidRPr="000E347F">
        <w:rPr>
          <w:rFonts w:ascii="Arial" w:hAnsi="Arial" w:cs="Arial"/>
          <w:sz w:val="22"/>
          <w:szCs w:val="22"/>
          <w:lang w:val="el-GR"/>
        </w:rPr>
        <w:t xml:space="preserve"> ελλείψεων που εξακολουθούν να υπάρχουν στην αρχιτεκτονική της</w:t>
      </w:r>
      <w:r w:rsidRPr="000E347F">
        <w:rPr>
          <w:rFonts w:ascii="Arial" w:hAnsi="Arial" w:cs="Arial"/>
          <w:sz w:val="22"/>
          <w:szCs w:val="22"/>
        </w:rPr>
        <w:t xml:space="preserve">. Ο κατακερματισμός των χρηματοπιστωτικών αγορών και των κεφαλαιαγορών </w:t>
      </w:r>
      <w:r w:rsidRPr="000E347F">
        <w:rPr>
          <w:rFonts w:ascii="Arial" w:hAnsi="Arial" w:cs="Arial"/>
          <w:sz w:val="22"/>
          <w:szCs w:val="22"/>
          <w:lang w:val="el-GR"/>
        </w:rPr>
        <w:t xml:space="preserve">και η έλλειψη ενός κοινού συστήματος δημοσιονομικής διαχείρισης </w:t>
      </w:r>
      <w:proofErr w:type="spellStart"/>
      <w:r w:rsidRPr="000E347F">
        <w:rPr>
          <w:rFonts w:ascii="Arial" w:hAnsi="Arial" w:cs="Arial"/>
          <w:sz w:val="22"/>
          <w:szCs w:val="22"/>
        </w:rPr>
        <w:t>μπορ</w:t>
      </w:r>
      <w:r w:rsidRPr="000E347F">
        <w:rPr>
          <w:rFonts w:ascii="Arial" w:hAnsi="Arial" w:cs="Arial"/>
          <w:sz w:val="22"/>
          <w:szCs w:val="22"/>
          <w:lang w:val="el-GR"/>
        </w:rPr>
        <w:t>ούν</w:t>
      </w:r>
      <w:proofErr w:type="spellEnd"/>
      <w:r w:rsidRPr="000E347F">
        <w:rPr>
          <w:rFonts w:ascii="Arial" w:hAnsi="Arial" w:cs="Arial"/>
          <w:sz w:val="22"/>
          <w:szCs w:val="22"/>
        </w:rPr>
        <w:t xml:space="preserve"> να </w:t>
      </w:r>
      <w:proofErr w:type="spellStart"/>
      <w:r w:rsidRPr="000E347F">
        <w:rPr>
          <w:rFonts w:ascii="Arial" w:hAnsi="Arial" w:cs="Arial"/>
          <w:sz w:val="22"/>
          <w:szCs w:val="22"/>
        </w:rPr>
        <w:t>αποδυναμώσ</w:t>
      </w:r>
      <w:r w:rsidRPr="000E347F">
        <w:rPr>
          <w:rFonts w:ascii="Arial" w:hAnsi="Arial" w:cs="Arial"/>
          <w:sz w:val="22"/>
          <w:szCs w:val="22"/>
          <w:lang w:val="el-GR"/>
        </w:rPr>
        <w:t>ουν</w:t>
      </w:r>
      <w:proofErr w:type="spellEnd"/>
      <w:r w:rsidRPr="000E347F">
        <w:rPr>
          <w:rFonts w:ascii="Arial" w:hAnsi="Arial" w:cs="Arial"/>
          <w:sz w:val="22"/>
          <w:szCs w:val="22"/>
        </w:rPr>
        <w:t xml:space="preserve"> και να </w:t>
      </w:r>
      <w:proofErr w:type="spellStart"/>
      <w:r w:rsidRPr="000E347F">
        <w:rPr>
          <w:rFonts w:ascii="Arial" w:hAnsi="Arial" w:cs="Arial"/>
          <w:sz w:val="22"/>
          <w:szCs w:val="22"/>
          <w:lang w:val="el-GR"/>
        </w:rPr>
        <w:t>ανισοκατανείμουν</w:t>
      </w:r>
      <w:proofErr w:type="spellEnd"/>
      <w:r w:rsidRPr="000E347F">
        <w:rPr>
          <w:rFonts w:ascii="Arial" w:hAnsi="Arial" w:cs="Arial"/>
          <w:sz w:val="22"/>
          <w:szCs w:val="22"/>
          <w:lang w:val="el-GR"/>
        </w:rPr>
        <w:t xml:space="preserve"> </w:t>
      </w:r>
      <w:r w:rsidRPr="000E347F">
        <w:rPr>
          <w:rFonts w:ascii="Arial" w:hAnsi="Arial" w:cs="Arial"/>
          <w:sz w:val="22"/>
          <w:szCs w:val="22"/>
        </w:rPr>
        <w:t xml:space="preserve">τη </w:t>
      </w:r>
      <w:r w:rsidRPr="000E347F">
        <w:rPr>
          <w:rFonts w:ascii="Arial" w:hAnsi="Arial" w:cs="Arial"/>
          <w:sz w:val="22"/>
          <w:szCs w:val="22"/>
        </w:rPr>
        <w:lastRenderedPageBreak/>
        <w:t>μετάδοση της νομισματικής πολιτικής μεταξύ των κρατών</w:t>
      </w:r>
      <w:r w:rsidRPr="000E347F">
        <w:rPr>
          <w:rFonts w:ascii="Arial" w:hAnsi="Arial" w:cs="Arial"/>
          <w:sz w:val="22"/>
          <w:szCs w:val="22"/>
          <w:lang w:val="el-GR"/>
        </w:rPr>
        <w:t>-</w:t>
      </w:r>
      <w:r w:rsidRPr="000E347F">
        <w:rPr>
          <w:rFonts w:ascii="Arial" w:hAnsi="Arial" w:cs="Arial"/>
          <w:sz w:val="22"/>
          <w:szCs w:val="22"/>
        </w:rPr>
        <w:t>μελών, περιπλέκοντας το καθήκον της διατήρησης της σταθερότητας των τιμών για την Ένωση στο σύνολό της.</w:t>
      </w:r>
    </w:p>
    <w:p w14:paraId="5E69599D" w14:textId="77777777" w:rsidR="000E347F" w:rsidRPr="000E347F" w:rsidRDefault="000E347F" w:rsidP="000E347F">
      <w:pPr>
        <w:pStyle w:val="P68B1DB1-Normal2"/>
        <w:tabs>
          <w:tab w:val="left" w:pos="426"/>
        </w:tabs>
        <w:spacing w:before="120" w:line="360" w:lineRule="auto"/>
        <w:jc w:val="both"/>
        <w:rPr>
          <w:rFonts w:ascii="Arial" w:hAnsi="Arial" w:cs="Arial"/>
          <w:iCs/>
          <w:sz w:val="22"/>
          <w:szCs w:val="22"/>
        </w:rPr>
      </w:pPr>
      <w:r w:rsidRPr="000E347F">
        <w:rPr>
          <w:rFonts w:ascii="Arial" w:hAnsi="Arial" w:cs="Arial"/>
          <w:sz w:val="22"/>
          <w:szCs w:val="22"/>
        </w:rPr>
        <w:t xml:space="preserve">Μια πιο </w:t>
      </w:r>
      <w:r w:rsidRPr="000E347F">
        <w:rPr>
          <w:rFonts w:ascii="Arial" w:hAnsi="Arial" w:cs="Arial"/>
          <w:sz w:val="22"/>
          <w:szCs w:val="22"/>
          <w:lang w:val="el-GR"/>
        </w:rPr>
        <w:t>ενοποιημένη</w:t>
      </w:r>
      <w:r w:rsidRPr="000E347F">
        <w:rPr>
          <w:rFonts w:ascii="Arial" w:hAnsi="Arial" w:cs="Arial"/>
          <w:sz w:val="22"/>
          <w:szCs w:val="22"/>
        </w:rPr>
        <w:t xml:space="preserve"> οικονομία της ζώνης του ευρώ θα </w:t>
      </w:r>
      <w:r w:rsidRPr="000E347F">
        <w:rPr>
          <w:rFonts w:ascii="Arial" w:hAnsi="Arial" w:cs="Arial"/>
          <w:sz w:val="22"/>
          <w:szCs w:val="22"/>
          <w:lang w:val="el-GR"/>
        </w:rPr>
        <w:t xml:space="preserve">αυξήσει </w:t>
      </w:r>
      <w:r w:rsidRPr="000E347F">
        <w:rPr>
          <w:rFonts w:ascii="Arial" w:hAnsi="Arial" w:cs="Arial"/>
          <w:sz w:val="22"/>
          <w:szCs w:val="22"/>
        </w:rPr>
        <w:t xml:space="preserve">την αποτελεσματικότητα της νομισματικής πολιτικής και </w:t>
      </w:r>
      <w:r w:rsidRPr="000E347F">
        <w:rPr>
          <w:rFonts w:ascii="Arial" w:hAnsi="Arial" w:cs="Arial"/>
          <w:sz w:val="22"/>
          <w:szCs w:val="22"/>
          <w:lang w:val="el-GR"/>
        </w:rPr>
        <w:t xml:space="preserve">θα </w:t>
      </w:r>
      <w:r w:rsidRPr="000E347F">
        <w:rPr>
          <w:rFonts w:ascii="Arial" w:hAnsi="Arial" w:cs="Arial"/>
          <w:sz w:val="22"/>
          <w:szCs w:val="22"/>
        </w:rPr>
        <w:t xml:space="preserve">ενισχύσει την ομαλή μετάδοσή της </w:t>
      </w:r>
      <w:r w:rsidRPr="000E347F">
        <w:rPr>
          <w:rFonts w:ascii="Arial" w:hAnsi="Arial" w:cs="Arial"/>
          <w:sz w:val="22"/>
          <w:szCs w:val="22"/>
          <w:lang w:val="el-GR"/>
        </w:rPr>
        <w:t>στις οικονομίες της ζώνης</w:t>
      </w:r>
      <w:r w:rsidRPr="000E347F">
        <w:rPr>
          <w:rFonts w:ascii="Arial" w:hAnsi="Arial" w:cs="Arial"/>
          <w:sz w:val="22"/>
          <w:szCs w:val="22"/>
        </w:rPr>
        <w:t xml:space="preserve">. Αυτό με τη σειρά του θα βοηθήσει τις κεντρικές τράπεζες να επιτύχουν </w:t>
      </w:r>
      <w:r w:rsidRPr="000E347F">
        <w:rPr>
          <w:rFonts w:ascii="Arial" w:hAnsi="Arial" w:cs="Arial"/>
          <w:sz w:val="22"/>
          <w:szCs w:val="22"/>
          <w:lang w:val="el-GR"/>
        </w:rPr>
        <w:t xml:space="preserve">τη </w:t>
      </w:r>
      <w:r w:rsidRPr="000E347F">
        <w:rPr>
          <w:rFonts w:ascii="Arial" w:hAnsi="Arial" w:cs="Arial"/>
          <w:sz w:val="22"/>
          <w:szCs w:val="22"/>
        </w:rPr>
        <w:t>λεπτή ισορροπία μεταξύ της συγκράτησης των πληθωριστικών πιέσεων</w:t>
      </w:r>
      <w:r w:rsidRPr="000E347F">
        <w:rPr>
          <w:rFonts w:ascii="Arial" w:hAnsi="Arial" w:cs="Arial"/>
          <w:sz w:val="22"/>
          <w:szCs w:val="22"/>
          <w:lang w:val="el-GR"/>
        </w:rPr>
        <w:t xml:space="preserve"> και της ταυτόχρονης αποτροπής</w:t>
      </w:r>
      <w:r w:rsidRPr="000E347F">
        <w:rPr>
          <w:rFonts w:ascii="Arial" w:hAnsi="Arial" w:cs="Arial"/>
          <w:sz w:val="22"/>
          <w:szCs w:val="22"/>
        </w:rPr>
        <w:t xml:space="preserve"> μια</w:t>
      </w:r>
      <w:r w:rsidRPr="000E347F">
        <w:rPr>
          <w:rFonts w:ascii="Arial" w:hAnsi="Arial" w:cs="Arial"/>
          <w:sz w:val="22"/>
          <w:szCs w:val="22"/>
          <w:lang w:val="el-GR"/>
        </w:rPr>
        <w:t>ς</w:t>
      </w:r>
      <w:r w:rsidRPr="000E347F">
        <w:rPr>
          <w:rFonts w:ascii="Arial" w:hAnsi="Arial" w:cs="Arial"/>
          <w:sz w:val="22"/>
          <w:szCs w:val="22"/>
        </w:rPr>
        <w:t xml:space="preserve"> </w:t>
      </w:r>
      <w:r w:rsidRPr="000E347F">
        <w:rPr>
          <w:rFonts w:ascii="Arial" w:hAnsi="Arial" w:cs="Arial"/>
          <w:sz w:val="22"/>
          <w:szCs w:val="22"/>
          <w:lang w:val="el-GR"/>
        </w:rPr>
        <w:t xml:space="preserve">ανεπιθύμητης </w:t>
      </w:r>
      <w:r w:rsidRPr="000E347F">
        <w:rPr>
          <w:rFonts w:ascii="Arial" w:hAnsi="Arial" w:cs="Arial"/>
          <w:sz w:val="22"/>
          <w:szCs w:val="22"/>
        </w:rPr>
        <w:t>εξασθένηση</w:t>
      </w:r>
      <w:r w:rsidRPr="000E347F">
        <w:rPr>
          <w:rFonts w:ascii="Arial" w:hAnsi="Arial" w:cs="Arial"/>
          <w:sz w:val="22"/>
          <w:szCs w:val="22"/>
          <w:lang w:val="el-GR"/>
        </w:rPr>
        <w:t>ς</w:t>
      </w:r>
      <w:r w:rsidRPr="000E347F">
        <w:rPr>
          <w:rFonts w:ascii="Arial" w:hAnsi="Arial" w:cs="Arial"/>
          <w:sz w:val="22"/>
          <w:szCs w:val="22"/>
        </w:rPr>
        <w:t xml:space="preserve"> της οικονομικής ανάπτυξης. </w:t>
      </w:r>
      <w:r w:rsidRPr="000E347F">
        <w:rPr>
          <w:rFonts w:ascii="Arial" w:hAnsi="Arial" w:cs="Arial"/>
          <w:sz w:val="22"/>
          <w:szCs w:val="22"/>
          <w:lang w:val="el-GR"/>
        </w:rPr>
        <w:t xml:space="preserve">Η </w:t>
      </w:r>
      <w:r w:rsidRPr="000E347F">
        <w:rPr>
          <w:rFonts w:ascii="Arial" w:hAnsi="Arial" w:cs="Arial"/>
          <w:sz w:val="22"/>
          <w:szCs w:val="22"/>
        </w:rPr>
        <w:t xml:space="preserve">πρόκληση </w:t>
      </w:r>
      <w:r w:rsidRPr="000E347F">
        <w:rPr>
          <w:rFonts w:ascii="Arial" w:hAnsi="Arial" w:cs="Arial"/>
          <w:sz w:val="22"/>
          <w:szCs w:val="22"/>
          <w:lang w:val="el-GR"/>
        </w:rPr>
        <w:t xml:space="preserve">αυτή </w:t>
      </w:r>
      <w:r w:rsidRPr="000E347F">
        <w:rPr>
          <w:rFonts w:ascii="Arial" w:hAnsi="Arial" w:cs="Arial"/>
          <w:sz w:val="22"/>
          <w:szCs w:val="22"/>
        </w:rPr>
        <w:t>τείνει να γίνεται ιδιαίτερα έντονη σε περίπτωση δυσμενών διαταραχών από την πλευρά της προσφοράς.</w:t>
      </w:r>
    </w:p>
    <w:p w14:paraId="0A9FCA55" w14:textId="77777777" w:rsidR="000E347F" w:rsidRPr="000E347F" w:rsidRDefault="000E347F" w:rsidP="000E347F">
      <w:pPr>
        <w:pStyle w:val="P68B1DB1-Normal5"/>
        <w:spacing w:before="120" w:line="360" w:lineRule="auto"/>
        <w:jc w:val="both"/>
        <w:rPr>
          <w:rFonts w:ascii="Arial" w:hAnsi="Arial" w:cs="Arial"/>
          <w:sz w:val="22"/>
          <w:szCs w:val="22"/>
        </w:rPr>
      </w:pPr>
      <w:r w:rsidRPr="000E347F">
        <w:rPr>
          <w:rFonts w:ascii="Arial" w:hAnsi="Arial" w:cs="Arial"/>
          <w:sz w:val="22"/>
          <w:szCs w:val="22"/>
        </w:rPr>
        <w:t>Η ολοκλήρωση της τραπεζικής ένωσης</w:t>
      </w:r>
      <w:r w:rsidRPr="000E347F">
        <w:rPr>
          <w:rFonts w:ascii="Arial" w:hAnsi="Arial" w:cs="Arial"/>
          <w:sz w:val="22"/>
          <w:szCs w:val="22"/>
          <w:lang w:val="el-GR"/>
        </w:rPr>
        <w:t xml:space="preserve"> – ιδίως</w:t>
      </w:r>
      <w:r w:rsidRPr="000E347F">
        <w:rPr>
          <w:rFonts w:ascii="Arial" w:hAnsi="Arial" w:cs="Arial"/>
          <w:sz w:val="22"/>
          <w:szCs w:val="22"/>
        </w:rPr>
        <w:t xml:space="preserve"> μέσω της δημιουργίας ενός Ευρωπαϊκού Συστήματος Ασφάλισης Καταθέσεων</w:t>
      </w:r>
      <w:r w:rsidRPr="000E347F">
        <w:rPr>
          <w:rFonts w:ascii="Arial" w:hAnsi="Arial" w:cs="Arial"/>
          <w:sz w:val="22"/>
          <w:szCs w:val="22"/>
          <w:lang w:val="el-GR"/>
        </w:rPr>
        <w:t xml:space="preserve"> – και </w:t>
      </w:r>
      <w:r w:rsidRPr="000E347F">
        <w:rPr>
          <w:rFonts w:ascii="Arial" w:hAnsi="Arial" w:cs="Arial"/>
          <w:sz w:val="22"/>
          <w:szCs w:val="22"/>
        </w:rPr>
        <w:t xml:space="preserve">η πρόοδος προς μια </w:t>
      </w:r>
      <w:r w:rsidRPr="000E347F">
        <w:rPr>
          <w:rFonts w:ascii="Arial" w:hAnsi="Arial" w:cs="Arial"/>
          <w:sz w:val="22"/>
          <w:szCs w:val="22"/>
          <w:lang w:val="el-GR"/>
        </w:rPr>
        <w:t>γνήσια</w:t>
      </w:r>
      <w:r w:rsidRPr="000E347F">
        <w:rPr>
          <w:rFonts w:ascii="Arial" w:hAnsi="Arial" w:cs="Arial"/>
          <w:sz w:val="22"/>
          <w:szCs w:val="22"/>
        </w:rPr>
        <w:t xml:space="preserve"> Ένωση Αποταμιεύσεων και Επενδύσεων θα μειώσουν σημαντικά τον χρηματοπιστωτικό κατακερματισμό μεταξύ των κρατών</w:t>
      </w:r>
      <w:r w:rsidRPr="000E347F">
        <w:rPr>
          <w:rFonts w:ascii="Arial" w:hAnsi="Arial" w:cs="Arial"/>
          <w:sz w:val="22"/>
          <w:szCs w:val="22"/>
          <w:lang w:val="el-GR"/>
        </w:rPr>
        <w:t>-</w:t>
      </w:r>
      <w:r w:rsidRPr="000E347F">
        <w:rPr>
          <w:rFonts w:ascii="Arial" w:hAnsi="Arial" w:cs="Arial"/>
          <w:sz w:val="22"/>
          <w:szCs w:val="22"/>
        </w:rPr>
        <w:t xml:space="preserve">μελών και θα ενισχύσουν τα θεμέλια </w:t>
      </w:r>
      <w:r w:rsidRPr="000E347F">
        <w:rPr>
          <w:rFonts w:ascii="Arial" w:hAnsi="Arial" w:cs="Arial"/>
          <w:sz w:val="22"/>
          <w:szCs w:val="22"/>
          <w:lang w:val="el-GR"/>
        </w:rPr>
        <w:t>της</w:t>
      </w:r>
      <w:r w:rsidRPr="000E347F">
        <w:rPr>
          <w:rFonts w:ascii="Arial" w:hAnsi="Arial" w:cs="Arial"/>
          <w:sz w:val="22"/>
          <w:szCs w:val="22"/>
        </w:rPr>
        <w:t xml:space="preserve"> νομισματική</w:t>
      </w:r>
      <w:r w:rsidRPr="000E347F">
        <w:rPr>
          <w:rFonts w:ascii="Arial" w:hAnsi="Arial" w:cs="Arial"/>
          <w:sz w:val="22"/>
          <w:szCs w:val="22"/>
          <w:lang w:val="el-GR"/>
        </w:rPr>
        <w:t>ς</w:t>
      </w:r>
      <w:r w:rsidRPr="000E347F">
        <w:rPr>
          <w:rFonts w:ascii="Arial" w:hAnsi="Arial" w:cs="Arial"/>
          <w:sz w:val="22"/>
          <w:szCs w:val="22"/>
        </w:rPr>
        <w:t xml:space="preserve"> πολιτική</w:t>
      </w:r>
      <w:r w:rsidRPr="000E347F">
        <w:rPr>
          <w:rFonts w:ascii="Arial" w:hAnsi="Arial" w:cs="Arial"/>
          <w:sz w:val="22"/>
          <w:szCs w:val="22"/>
          <w:lang w:val="el-GR"/>
        </w:rPr>
        <w:t>ς</w:t>
      </w:r>
      <w:r w:rsidRPr="000E347F">
        <w:rPr>
          <w:rFonts w:ascii="Arial" w:hAnsi="Arial" w:cs="Arial"/>
          <w:sz w:val="22"/>
          <w:szCs w:val="22"/>
        </w:rPr>
        <w:t>.</w:t>
      </w:r>
    </w:p>
    <w:p w14:paraId="2F21E0BE" w14:textId="77777777" w:rsidR="000E347F" w:rsidRPr="000E347F" w:rsidRDefault="000E347F" w:rsidP="000E347F">
      <w:pPr>
        <w:pStyle w:val="P68B1DB1-Normal2"/>
        <w:spacing w:before="120" w:line="360" w:lineRule="auto"/>
        <w:jc w:val="both"/>
        <w:rPr>
          <w:rFonts w:ascii="Arial" w:hAnsi="Arial" w:cs="Arial"/>
          <w:sz w:val="22"/>
          <w:szCs w:val="22"/>
        </w:rPr>
      </w:pPr>
      <w:r w:rsidRPr="000E347F">
        <w:rPr>
          <w:rFonts w:ascii="Arial" w:hAnsi="Arial" w:cs="Arial"/>
          <w:sz w:val="22"/>
          <w:szCs w:val="22"/>
        </w:rPr>
        <w:t xml:space="preserve">Για την επίτευξη βαθύτερης </w:t>
      </w:r>
      <w:r w:rsidRPr="000E347F">
        <w:rPr>
          <w:rFonts w:ascii="Arial" w:hAnsi="Arial" w:cs="Arial"/>
          <w:sz w:val="22"/>
          <w:szCs w:val="22"/>
          <w:lang w:val="el-GR"/>
        </w:rPr>
        <w:t>ενοποίησης</w:t>
      </w:r>
      <w:r w:rsidRPr="000E347F">
        <w:rPr>
          <w:rFonts w:ascii="Arial" w:hAnsi="Arial" w:cs="Arial"/>
          <w:sz w:val="22"/>
          <w:szCs w:val="22"/>
        </w:rPr>
        <w:t xml:space="preserve">, μια συνεκτική, πανευρωπαϊκή στρατηγική </w:t>
      </w:r>
      <w:r w:rsidRPr="000E347F">
        <w:rPr>
          <w:rFonts w:ascii="Arial" w:hAnsi="Arial" w:cs="Arial"/>
          <w:sz w:val="22"/>
          <w:szCs w:val="22"/>
          <w:lang w:val="el-GR"/>
        </w:rPr>
        <w:t>απόκριση παύει πλέον να</w:t>
      </w:r>
      <w:r w:rsidRPr="000E347F">
        <w:rPr>
          <w:rFonts w:ascii="Arial" w:hAnsi="Arial" w:cs="Arial"/>
          <w:sz w:val="22"/>
          <w:szCs w:val="22"/>
        </w:rPr>
        <w:t xml:space="preserve"> </w:t>
      </w:r>
      <w:r w:rsidRPr="000E347F">
        <w:rPr>
          <w:rFonts w:ascii="Arial" w:hAnsi="Arial" w:cs="Arial"/>
          <w:sz w:val="22"/>
          <w:szCs w:val="22"/>
          <w:lang w:val="el-GR"/>
        </w:rPr>
        <w:t xml:space="preserve">είναι απλά μια </w:t>
      </w:r>
      <w:r w:rsidRPr="000E347F">
        <w:rPr>
          <w:rFonts w:ascii="Arial" w:hAnsi="Arial" w:cs="Arial"/>
          <w:sz w:val="22"/>
          <w:szCs w:val="22"/>
        </w:rPr>
        <w:t>επιλογή</w:t>
      </w:r>
      <w:r w:rsidRPr="000E347F">
        <w:rPr>
          <w:rFonts w:ascii="Arial" w:hAnsi="Arial" w:cs="Arial"/>
          <w:sz w:val="22"/>
          <w:szCs w:val="22"/>
          <w:lang w:val="el-GR"/>
        </w:rPr>
        <w:t>, αλλά</w:t>
      </w:r>
      <w:r w:rsidRPr="000E347F">
        <w:rPr>
          <w:rFonts w:ascii="Arial" w:hAnsi="Arial" w:cs="Arial"/>
          <w:sz w:val="22"/>
          <w:szCs w:val="22"/>
        </w:rPr>
        <w:t xml:space="preserve"> αποτελεί</w:t>
      </w:r>
      <w:r w:rsidRPr="000E347F">
        <w:rPr>
          <w:rFonts w:ascii="Arial" w:hAnsi="Arial" w:cs="Arial"/>
          <w:sz w:val="22"/>
          <w:szCs w:val="22"/>
          <w:lang w:val="el-GR"/>
        </w:rPr>
        <w:t xml:space="preserve"> υποχρέωση</w:t>
      </w:r>
      <w:r w:rsidRPr="000E347F">
        <w:rPr>
          <w:rFonts w:ascii="Arial" w:hAnsi="Arial" w:cs="Arial"/>
          <w:sz w:val="22"/>
          <w:szCs w:val="22"/>
        </w:rPr>
        <w:t xml:space="preserve">. Η κατάσταση αυτή αντικατοπτρίζεται στην έκθεση </w:t>
      </w:r>
      <w:proofErr w:type="spellStart"/>
      <w:r w:rsidRPr="000E347F">
        <w:rPr>
          <w:rFonts w:ascii="Arial" w:hAnsi="Arial" w:cs="Arial"/>
          <w:sz w:val="22"/>
          <w:szCs w:val="22"/>
        </w:rPr>
        <w:t>Letta</w:t>
      </w:r>
      <w:proofErr w:type="spellEnd"/>
      <w:r w:rsidRPr="000E347F">
        <w:rPr>
          <w:rFonts w:ascii="Arial" w:hAnsi="Arial" w:cs="Arial"/>
          <w:sz w:val="22"/>
          <w:szCs w:val="22"/>
        </w:rPr>
        <w:t xml:space="preserve"> σχετικά με την βάθυνση της </w:t>
      </w:r>
      <w:r w:rsidRPr="000E347F">
        <w:rPr>
          <w:rFonts w:ascii="Arial" w:hAnsi="Arial" w:cs="Arial"/>
          <w:sz w:val="22"/>
          <w:szCs w:val="22"/>
          <w:lang w:val="el-GR"/>
        </w:rPr>
        <w:t xml:space="preserve">Ενιαίας Αγοράς </w:t>
      </w:r>
      <w:r w:rsidRPr="000E347F">
        <w:rPr>
          <w:rFonts w:ascii="Arial" w:hAnsi="Arial" w:cs="Arial"/>
          <w:sz w:val="22"/>
          <w:szCs w:val="22"/>
        </w:rPr>
        <w:t xml:space="preserve">και την εξάλειψη των σημαντικών εσωτερικών φραγμών </w:t>
      </w:r>
      <w:r w:rsidRPr="000E347F">
        <w:rPr>
          <w:rFonts w:ascii="Arial" w:hAnsi="Arial" w:cs="Arial"/>
          <w:sz w:val="22"/>
          <w:szCs w:val="22"/>
          <w:lang w:val="el-GR"/>
        </w:rPr>
        <w:t xml:space="preserve">που εξακολουθούν να υπάρχουν </w:t>
      </w:r>
      <w:r w:rsidRPr="000E347F">
        <w:rPr>
          <w:rFonts w:ascii="Arial" w:hAnsi="Arial" w:cs="Arial"/>
          <w:sz w:val="22"/>
          <w:szCs w:val="22"/>
        </w:rPr>
        <w:t xml:space="preserve">στο εμπόριο αγαθών και υπηρεσιών, καθώς και στην έκθεση </w:t>
      </w:r>
      <w:proofErr w:type="spellStart"/>
      <w:r w:rsidRPr="000E347F">
        <w:rPr>
          <w:rFonts w:ascii="Arial" w:hAnsi="Arial" w:cs="Arial"/>
          <w:sz w:val="22"/>
          <w:szCs w:val="22"/>
        </w:rPr>
        <w:t>Draghi</w:t>
      </w:r>
      <w:proofErr w:type="spellEnd"/>
      <w:r w:rsidRPr="000E347F">
        <w:rPr>
          <w:rFonts w:ascii="Arial" w:hAnsi="Arial" w:cs="Arial"/>
          <w:sz w:val="22"/>
          <w:szCs w:val="22"/>
        </w:rPr>
        <w:t xml:space="preserve"> σχετικά με τις επενδυτικές ανάγκες, την παραγωγικότητα και την ανταγωνιστικότητα της Ευρώπης. Μόνο μέσω συντονισμένης κοινής δράσης μπορεί η ΕΕ να </w:t>
      </w:r>
      <w:r w:rsidRPr="000E347F">
        <w:rPr>
          <w:rFonts w:ascii="Arial" w:hAnsi="Arial" w:cs="Arial"/>
          <w:sz w:val="22"/>
          <w:szCs w:val="22"/>
          <w:lang w:val="el-GR"/>
        </w:rPr>
        <w:t xml:space="preserve">εξαλείψει </w:t>
      </w:r>
      <w:r w:rsidRPr="000E347F">
        <w:rPr>
          <w:rFonts w:ascii="Arial" w:hAnsi="Arial" w:cs="Arial"/>
          <w:sz w:val="22"/>
          <w:szCs w:val="22"/>
        </w:rPr>
        <w:t xml:space="preserve">τα κενά παραγωγικότητας και καινοτομίας, να ενισχύσει την ανθεκτικότητα και να διατηρήσει τη στρατηγική αυτονομία της. Η επίτευξη αυτής της δέσμης στόχων θα ενισχύσει επίσης την εφαρμογή, τη μετάδοση και την αποτελεσματικότητα της νομισματικής πολιτικής </w:t>
      </w:r>
      <w:r w:rsidRPr="000E347F">
        <w:rPr>
          <w:rFonts w:ascii="Arial" w:hAnsi="Arial" w:cs="Arial"/>
          <w:sz w:val="22"/>
          <w:szCs w:val="22"/>
          <w:lang w:val="el-GR"/>
        </w:rPr>
        <w:t>για</w:t>
      </w:r>
      <w:r w:rsidRPr="000E347F">
        <w:rPr>
          <w:rFonts w:ascii="Arial" w:hAnsi="Arial" w:cs="Arial"/>
          <w:sz w:val="22"/>
          <w:szCs w:val="22"/>
        </w:rPr>
        <w:t xml:space="preserve"> τη διαφύλαξη της σταθερότητας των τιμών και τη στήριξη της χρηματοπιστωτικής σταθερότητας.</w:t>
      </w:r>
    </w:p>
    <w:p w14:paraId="41B7A5E6" w14:textId="77777777" w:rsidR="000E347F" w:rsidRPr="000E347F" w:rsidRDefault="000E347F" w:rsidP="000E347F">
      <w:pPr>
        <w:pStyle w:val="P68B1DB1-Normal5"/>
        <w:spacing w:before="120" w:line="360" w:lineRule="auto"/>
        <w:jc w:val="both"/>
        <w:rPr>
          <w:rFonts w:ascii="Arial" w:hAnsi="Arial" w:cs="Arial"/>
          <w:sz w:val="22"/>
          <w:szCs w:val="22"/>
        </w:rPr>
      </w:pPr>
      <w:r w:rsidRPr="000E347F">
        <w:rPr>
          <w:rFonts w:ascii="Arial" w:hAnsi="Arial" w:cs="Arial"/>
          <w:sz w:val="22"/>
          <w:szCs w:val="22"/>
        </w:rPr>
        <w:t xml:space="preserve">Πρόσφατες πρωτοβουλίες της ΕΕ, όπως η </w:t>
      </w:r>
      <w:r w:rsidRPr="000E347F">
        <w:rPr>
          <w:rFonts w:ascii="Arial" w:hAnsi="Arial" w:cs="Arial"/>
          <w:sz w:val="22"/>
          <w:szCs w:val="22"/>
          <w:lang w:val="el-GR"/>
        </w:rPr>
        <w:t>στρατηγική πρωτοβουλία “Ευρωπαϊκή Άμυνα – Ετοιμότητα 2030”</w:t>
      </w:r>
      <w:r w:rsidRPr="000E347F">
        <w:rPr>
          <w:rFonts w:ascii="Arial" w:hAnsi="Arial" w:cs="Arial"/>
          <w:sz w:val="22"/>
          <w:szCs w:val="22"/>
        </w:rPr>
        <w:t xml:space="preserve">, καθώς και η Πυξίδα Ανταγωνιστικότητας και </w:t>
      </w:r>
      <w:r w:rsidRPr="000E347F">
        <w:rPr>
          <w:rFonts w:ascii="Arial" w:hAnsi="Arial" w:cs="Arial"/>
          <w:sz w:val="22"/>
          <w:szCs w:val="22"/>
          <w:lang w:val="el-GR"/>
        </w:rPr>
        <w:t>η Συμφωνία για Καθαρή Βιομηχανία της Ευρωπαϊκής Επιτροπής</w:t>
      </w:r>
      <w:r w:rsidRPr="000E347F">
        <w:rPr>
          <w:rFonts w:ascii="Arial" w:hAnsi="Arial" w:cs="Arial"/>
          <w:sz w:val="22"/>
          <w:szCs w:val="22"/>
        </w:rPr>
        <w:t xml:space="preserve">, σηματοδοτούν μια σημαντική στροφή της πολιτικής προς μια ισχυρότερη, μακρόπνοη βιομηχανική στρατηγική που επιδιώκει την παροχή κινήτρων για καινοτομία και επενδύσεις σε νέες τεχνολογίες. Οι πρωτοβουλίες αυτές στηρίζουν τη βαθύτερη ολοκλήρωση της αγοράς και τονώνουν τις επενδύσεις μεγάλης κλίμακας σε κρίσιμες τεχνολογίες και υποδομές, αυξάνοντας έτσι την ανθεκτικότητα της Ευρώπης σε εξωτερικούς κλυδωνισμούς. </w:t>
      </w:r>
    </w:p>
    <w:p w14:paraId="3D645055" w14:textId="77777777" w:rsidR="000E347F" w:rsidRPr="000E347F" w:rsidRDefault="000E347F" w:rsidP="000E347F">
      <w:pPr>
        <w:spacing w:before="120" w:line="360" w:lineRule="auto"/>
        <w:jc w:val="both"/>
        <w:rPr>
          <w:color w:val="auto"/>
          <w:sz w:val="22"/>
          <w:szCs w:val="22"/>
          <w:lang w:val="el-GR"/>
        </w:rPr>
      </w:pPr>
    </w:p>
    <w:p w14:paraId="4C6A964F" w14:textId="77777777" w:rsidR="000E347F" w:rsidRPr="000E347F" w:rsidRDefault="000E347F" w:rsidP="000E347F">
      <w:pPr>
        <w:pStyle w:val="P68B1DB1-Normal6"/>
        <w:spacing w:before="120" w:line="360" w:lineRule="auto"/>
        <w:jc w:val="both"/>
        <w:rPr>
          <w:rFonts w:ascii="Arial" w:hAnsi="Arial" w:cs="Arial"/>
          <w:iCs/>
          <w:sz w:val="22"/>
          <w:szCs w:val="22"/>
        </w:rPr>
      </w:pPr>
      <w:r w:rsidRPr="000E347F">
        <w:rPr>
          <w:rFonts w:ascii="Arial" w:hAnsi="Arial" w:cs="Arial"/>
          <w:sz w:val="22"/>
          <w:szCs w:val="22"/>
        </w:rPr>
        <w:t>Σχετικά με τ</w:t>
      </w:r>
      <w:r w:rsidRPr="000E347F">
        <w:rPr>
          <w:rFonts w:ascii="Arial" w:hAnsi="Arial" w:cs="Arial"/>
          <w:sz w:val="22"/>
          <w:szCs w:val="22"/>
          <w:lang w:val="el-GR"/>
        </w:rPr>
        <w:t>ην έκδοση ευρωομολόγων</w:t>
      </w:r>
      <w:r w:rsidRPr="000E347F">
        <w:rPr>
          <w:rFonts w:ascii="Arial" w:hAnsi="Arial" w:cs="Arial"/>
          <w:sz w:val="22"/>
          <w:szCs w:val="22"/>
        </w:rPr>
        <w:t xml:space="preserve"> και </w:t>
      </w:r>
      <w:r w:rsidRPr="000E347F">
        <w:rPr>
          <w:rFonts w:ascii="Arial" w:hAnsi="Arial" w:cs="Arial"/>
          <w:sz w:val="22"/>
          <w:szCs w:val="22"/>
          <w:lang w:val="el-GR"/>
        </w:rPr>
        <w:t>τη δημιουργία ενός ευρωπαϊκού</w:t>
      </w:r>
      <w:r w:rsidRPr="000E347F">
        <w:rPr>
          <w:rFonts w:ascii="Arial" w:hAnsi="Arial" w:cs="Arial"/>
          <w:sz w:val="22"/>
          <w:szCs w:val="22"/>
        </w:rPr>
        <w:t xml:space="preserve"> </w:t>
      </w:r>
      <w:r w:rsidRPr="000E347F">
        <w:rPr>
          <w:rFonts w:ascii="Arial" w:hAnsi="Arial" w:cs="Arial"/>
          <w:sz w:val="22"/>
          <w:szCs w:val="22"/>
          <w:lang w:val="el-GR"/>
        </w:rPr>
        <w:t xml:space="preserve">ασφαλούς περιουσιακού στοιχείου </w:t>
      </w:r>
    </w:p>
    <w:p w14:paraId="30152ED7" w14:textId="77777777" w:rsidR="000E347F" w:rsidRPr="000E347F" w:rsidRDefault="000E347F" w:rsidP="000E347F">
      <w:pPr>
        <w:pStyle w:val="P68B1DB1-Normal5"/>
        <w:spacing w:before="120" w:line="360" w:lineRule="auto"/>
        <w:jc w:val="both"/>
        <w:rPr>
          <w:rFonts w:ascii="Arial" w:hAnsi="Arial" w:cs="Arial"/>
          <w:sz w:val="22"/>
          <w:szCs w:val="22"/>
        </w:rPr>
      </w:pPr>
      <w:r w:rsidRPr="000E347F">
        <w:rPr>
          <w:rFonts w:ascii="Arial" w:hAnsi="Arial" w:cs="Arial"/>
          <w:sz w:val="22"/>
          <w:szCs w:val="22"/>
        </w:rPr>
        <w:lastRenderedPageBreak/>
        <w:t xml:space="preserve">Η </w:t>
      </w:r>
      <w:r w:rsidRPr="000E347F">
        <w:rPr>
          <w:rFonts w:ascii="Arial" w:hAnsi="Arial" w:cs="Arial"/>
          <w:sz w:val="22"/>
          <w:szCs w:val="22"/>
          <w:lang w:val="el-GR"/>
        </w:rPr>
        <w:t xml:space="preserve">περαιτέρω </w:t>
      </w:r>
      <w:r w:rsidRPr="000E347F">
        <w:rPr>
          <w:rFonts w:ascii="Arial" w:hAnsi="Arial" w:cs="Arial"/>
          <w:sz w:val="22"/>
          <w:szCs w:val="22"/>
        </w:rPr>
        <w:t xml:space="preserve">έκδοση </w:t>
      </w:r>
      <w:r w:rsidRPr="000E347F">
        <w:rPr>
          <w:rFonts w:ascii="Arial" w:hAnsi="Arial" w:cs="Arial"/>
          <w:sz w:val="22"/>
          <w:szCs w:val="22"/>
          <w:lang w:val="el-GR"/>
        </w:rPr>
        <w:t>κοινού ευρωπαϊκού χρέους</w:t>
      </w:r>
      <w:r w:rsidRPr="000E347F">
        <w:rPr>
          <w:rFonts w:ascii="Arial" w:hAnsi="Arial" w:cs="Arial"/>
          <w:sz w:val="22"/>
          <w:szCs w:val="22"/>
        </w:rPr>
        <w:t xml:space="preserve">, για την επιδίωξη σαφώς καθορισμένων κοινών ευρωπαϊκών σκοπών υψηλής προτεραιότητας, όπως η ενίσχυση της άμυνας, η πράσινη ενέργεια και οι στρατηγικές επενδύσεις, θα </w:t>
      </w:r>
      <w:r w:rsidRPr="000E347F">
        <w:rPr>
          <w:rFonts w:ascii="Arial" w:hAnsi="Arial" w:cs="Arial"/>
          <w:sz w:val="22"/>
          <w:szCs w:val="22"/>
          <w:lang w:val="el-GR"/>
        </w:rPr>
        <w:t>αποτελούσε</w:t>
      </w:r>
      <w:r w:rsidRPr="000E347F">
        <w:rPr>
          <w:rFonts w:ascii="Arial" w:hAnsi="Arial" w:cs="Arial"/>
          <w:sz w:val="22"/>
          <w:szCs w:val="22"/>
        </w:rPr>
        <w:t xml:space="preserve"> σαφές μήνυμα ότι η Ευρώπη κινείται προς </w:t>
      </w:r>
      <w:r w:rsidRPr="000E347F">
        <w:rPr>
          <w:rFonts w:ascii="Arial" w:hAnsi="Arial" w:cs="Arial"/>
          <w:sz w:val="22"/>
          <w:szCs w:val="22"/>
          <w:lang w:val="el-GR"/>
        </w:rPr>
        <w:t>την κατεύθυνση της περαιτέρω ενοποίησης</w:t>
      </w:r>
      <w:r w:rsidRPr="000E347F">
        <w:rPr>
          <w:rFonts w:ascii="Arial" w:hAnsi="Arial" w:cs="Arial"/>
          <w:sz w:val="22"/>
          <w:szCs w:val="22"/>
        </w:rPr>
        <w:t xml:space="preserve"> και </w:t>
      </w:r>
      <w:r w:rsidRPr="000E347F">
        <w:rPr>
          <w:rFonts w:ascii="Arial" w:hAnsi="Arial" w:cs="Arial"/>
          <w:sz w:val="22"/>
          <w:szCs w:val="22"/>
          <w:lang w:val="el-GR"/>
        </w:rPr>
        <w:t>της  συνυπευθυνότητας</w:t>
      </w:r>
      <w:r w:rsidRPr="000E347F">
        <w:rPr>
          <w:rFonts w:ascii="Arial" w:hAnsi="Arial" w:cs="Arial"/>
          <w:sz w:val="22"/>
          <w:szCs w:val="22"/>
        </w:rPr>
        <w:t xml:space="preserve">. </w:t>
      </w:r>
    </w:p>
    <w:p w14:paraId="37B2B54A" w14:textId="77777777" w:rsidR="000E347F" w:rsidRPr="000E347F" w:rsidRDefault="000E347F" w:rsidP="000E347F">
      <w:pPr>
        <w:pStyle w:val="P68B1DB1-Normal5"/>
        <w:spacing w:before="120" w:line="360" w:lineRule="auto"/>
        <w:jc w:val="both"/>
        <w:rPr>
          <w:rFonts w:ascii="Arial" w:hAnsi="Arial" w:cs="Arial"/>
          <w:sz w:val="22"/>
          <w:szCs w:val="22"/>
        </w:rPr>
      </w:pPr>
      <w:r w:rsidRPr="000E347F">
        <w:rPr>
          <w:rFonts w:ascii="Arial" w:hAnsi="Arial" w:cs="Arial"/>
          <w:sz w:val="22"/>
          <w:szCs w:val="22"/>
          <w:lang w:val="el-GR"/>
        </w:rPr>
        <w:t>Εν προκειμένω</w:t>
      </w:r>
      <w:r w:rsidRPr="000E347F">
        <w:rPr>
          <w:rFonts w:ascii="Arial" w:hAnsi="Arial" w:cs="Arial"/>
          <w:sz w:val="22"/>
          <w:szCs w:val="22"/>
        </w:rPr>
        <w:t xml:space="preserve"> η εμπειρία από το </w:t>
      </w:r>
      <w:proofErr w:type="spellStart"/>
      <w:r w:rsidRPr="000E347F">
        <w:rPr>
          <w:rFonts w:ascii="Arial" w:hAnsi="Arial" w:cs="Arial"/>
          <w:sz w:val="22"/>
          <w:szCs w:val="22"/>
        </w:rPr>
        <w:t>NextGenerationEU</w:t>
      </w:r>
      <w:proofErr w:type="spellEnd"/>
      <w:r w:rsidRPr="000E347F">
        <w:rPr>
          <w:rFonts w:ascii="Arial" w:hAnsi="Arial" w:cs="Arial"/>
          <w:sz w:val="22"/>
          <w:szCs w:val="22"/>
        </w:rPr>
        <w:t xml:space="preserve"> (NGEU) είναι </w:t>
      </w:r>
      <w:r w:rsidRPr="000E347F">
        <w:rPr>
          <w:rFonts w:ascii="Arial" w:hAnsi="Arial" w:cs="Arial"/>
          <w:sz w:val="22"/>
          <w:szCs w:val="22"/>
          <w:lang w:val="el-GR"/>
        </w:rPr>
        <w:t>ιδιαίτερα εποικοδομητική</w:t>
      </w:r>
      <w:r w:rsidRPr="000E347F">
        <w:rPr>
          <w:rFonts w:ascii="Arial" w:hAnsi="Arial" w:cs="Arial"/>
          <w:sz w:val="22"/>
          <w:szCs w:val="22"/>
        </w:rPr>
        <w:t xml:space="preserve">. Η κοινή έκδοση ομολόγων </w:t>
      </w:r>
      <w:r w:rsidRPr="000E347F">
        <w:rPr>
          <w:rFonts w:ascii="Arial" w:hAnsi="Arial" w:cs="Arial"/>
          <w:sz w:val="22"/>
          <w:szCs w:val="22"/>
          <w:lang w:val="el-GR"/>
        </w:rPr>
        <w:t xml:space="preserve">σε </w:t>
      </w:r>
      <w:r w:rsidRPr="000E347F">
        <w:rPr>
          <w:rFonts w:ascii="Arial" w:hAnsi="Arial" w:cs="Arial"/>
          <w:sz w:val="22"/>
          <w:szCs w:val="22"/>
        </w:rPr>
        <w:t xml:space="preserve">μεγάλη κλίμακα κατέδειξε ότι η ΕΕ μπορεί να δανειστεί </w:t>
      </w:r>
      <w:r w:rsidRPr="000E347F">
        <w:rPr>
          <w:rFonts w:ascii="Arial" w:hAnsi="Arial" w:cs="Arial"/>
          <w:sz w:val="22"/>
          <w:szCs w:val="22"/>
          <w:lang w:val="el-GR"/>
        </w:rPr>
        <w:t xml:space="preserve">σε </w:t>
      </w:r>
      <w:proofErr w:type="spellStart"/>
      <w:r w:rsidRPr="000E347F">
        <w:rPr>
          <w:rFonts w:ascii="Arial" w:hAnsi="Arial" w:cs="Arial"/>
          <w:sz w:val="22"/>
          <w:szCs w:val="22"/>
        </w:rPr>
        <w:t>συλλογικ</w:t>
      </w:r>
      <w:proofErr w:type="spellEnd"/>
      <w:r w:rsidRPr="000E347F">
        <w:rPr>
          <w:rFonts w:ascii="Arial" w:hAnsi="Arial" w:cs="Arial"/>
          <w:sz w:val="22"/>
          <w:szCs w:val="22"/>
          <w:lang w:val="el-GR"/>
        </w:rPr>
        <w:t>ό επίπεδο</w:t>
      </w:r>
      <w:r w:rsidRPr="000E347F">
        <w:rPr>
          <w:rFonts w:ascii="Arial" w:hAnsi="Arial" w:cs="Arial"/>
          <w:sz w:val="22"/>
          <w:szCs w:val="22"/>
        </w:rPr>
        <w:t xml:space="preserve"> </w:t>
      </w:r>
      <w:r w:rsidRPr="000E347F">
        <w:rPr>
          <w:rFonts w:ascii="Arial" w:hAnsi="Arial" w:cs="Arial"/>
          <w:sz w:val="22"/>
          <w:szCs w:val="22"/>
          <w:lang w:val="el-GR"/>
        </w:rPr>
        <w:t>μεγάλα ποσά</w:t>
      </w:r>
      <w:r w:rsidRPr="000E347F">
        <w:rPr>
          <w:rFonts w:ascii="Arial" w:hAnsi="Arial" w:cs="Arial"/>
          <w:sz w:val="22"/>
          <w:szCs w:val="22"/>
        </w:rPr>
        <w:t xml:space="preserve">, να δημιουργήσει μια καμπύλη </w:t>
      </w:r>
      <w:r w:rsidRPr="000E347F">
        <w:rPr>
          <w:rFonts w:ascii="Arial" w:hAnsi="Arial" w:cs="Arial"/>
          <w:sz w:val="22"/>
          <w:szCs w:val="22"/>
          <w:lang w:val="el-GR"/>
        </w:rPr>
        <w:t xml:space="preserve">αποδόσεων που χαρακτηρίζεται από </w:t>
      </w:r>
      <w:r w:rsidRPr="000E347F">
        <w:rPr>
          <w:rFonts w:ascii="Arial" w:hAnsi="Arial" w:cs="Arial"/>
          <w:sz w:val="22"/>
          <w:szCs w:val="22"/>
        </w:rPr>
        <w:t>υψηλή ρευστότητα</w:t>
      </w:r>
      <w:r w:rsidRPr="000E347F">
        <w:rPr>
          <w:rFonts w:ascii="Arial" w:hAnsi="Arial" w:cs="Arial"/>
          <w:sz w:val="22"/>
          <w:szCs w:val="22"/>
          <w:lang w:val="el-GR"/>
        </w:rPr>
        <w:t xml:space="preserve"> σε όλες τις διάρκειες</w:t>
      </w:r>
      <w:r w:rsidRPr="000E347F">
        <w:rPr>
          <w:rFonts w:ascii="Arial" w:hAnsi="Arial" w:cs="Arial"/>
          <w:sz w:val="22"/>
          <w:szCs w:val="22"/>
        </w:rPr>
        <w:t xml:space="preserve"> και να προσελκύσει ισχυρή παγκόσμια ζήτηση</w:t>
      </w:r>
      <w:r w:rsidRPr="000E347F">
        <w:rPr>
          <w:rFonts w:ascii="Arial" w:hAnsi="Arial" w:cs="Arial"/>
          <w:sz w:val="22"/>
          <w:szCs w:val="22"/>
          <w:lang w:val="el-GR"/>
        </w:rPr>
        <w:t xml:space="preserve"> – χωρίς</w:t>
      </w:r>
      <w:r w:rsidRPr="000E347F">
        <w:rPr>
          <w:rFonts w:ascii="Arial" w:hAnsi="Arial" w:cs="Arial"/>
          <w:sz w:val="22"/>
          <w:szCs w:val="22"/>
        </w:rPr>
        <w:t xml:space="preserve"> να υπονομεύεται η δημοσιονομική ευθύνη σε εθνικό επίπεδο. Το σημαντικότερο είναι ότι η χρηματοδότηση </w:t>
      </w:r>
      <w:r w:rsidRPr="000E347F">
        <w:rPr>
          <w:rFonts w:ascii="Arial" w:hAnsi="Arial" w:cs="Arial"/>
          <w:sz w:val="22"/>
          <w:szCs w:val="22"/>
          <w:lang w:val="el-GR"/>
        </w:rPr>
        <w:t xml:space="preserve">από </w:t>
      </w:r>
      <w:r w:rsidRPr="000E347F">
        <w:rPr>
          <w:rFonts w:ascii="Arial" w:hAnsi="Arial" w:cs="Arial"/>
          <w:sz w:val="22"/>
          <w:szCs w:val="22"/>
        </w:rPr>
        <w:t xml:space="preserve">το NGEU συνδέθηκε με σαφώς καθορισμένους ευρωπαϊκούς στόχους, δεσμεύσεις </w:t>
      </w:r>
      <w:r w:rsidRPr="000E347F">
        <w:rPr>
          <w:rFonts w:ascii="Arial" w:hAnsi="Arial" w:cs="Arial"/>
          <w:sz w:val="22"/>
          <w:szCs w:val="22"/>
          <w:lang w:val="el-GR"/>
        </w:rPr>
        <w:t xml:space="preserve">με αυστηρές προθεσμίες </w:t>
      </w:r>
      <w:r w:rsidRPr="000E347F">
        <w:rPr>
          <w:rFonts w:ascii="Arial" w:hAnsi="Arial" w:cs="Arial"/>
          <w:sz w:val="22"/>
          <w:szCs w:val="22"/>
        </w:rPr>
        <w:t>και</w:t>
      </w:r>
      <w:r w:rsidRPr="000E347F">
        <w:rPr>
          <w:rFonts w:ascii="Arial" w:hAnsi="Arial" w:cs="Arial"/>
          <w:sz w:val="22"/>
          <w:szCs w:val="22"/>
          <w:lang w:val="el-GR"/>
        </w:rPr>
        <w:t xml:space="preserve"> όρους που προέβλεπαν την εφαρμογή μεταρρυθμίσεων</w:t>
      </w:r>
      <w:r w:rsidRPr="000E347F">
        <w:rPr>
          <w:rFonts w:ascii="Arial" w:hAnsi="Arial" w:cs="Arial"/>
          <w:sz w:val="22"/>
          <w:szCs w:val="22"/>
        </w:rPr>
        <w:t xml:space="preserve">. </w:t>
      </w:r>
      <w:r w:rsidRPr="000E347F">
        <w:rPr>
          <w:rFonts w:ascii="Arial" w:hAnsi="Arial" w:cs="Arial"/>
          <w:sz w:val="22"/>
          <w:szCs w:val="22"/>
          <w:lang w:val="el-GR"/>
        </w:rPr>
        <w:t>Αυτή η αρχιτεκτονική συνέβαλε σ</w:t>
      </w:r>
      <w:r w:rsidRPr="000E347F">
        <w:rPr>
          <w:rFonts w:ascii="Arial" w:hAnsi="Arial" w:cs="Arial"/>
          <w:sz w:val="22"/>
          <w:szCs w:val="22"/>
        </w:rPr>
        <w:t xml:space="preserve">την άμβλυνση του ηθικού κινδύνου, </w:t>
      </w:r>
      <w:r w:rsidRPr="000E347F">
        <w:rPr>
          <w:rFonts w:ascii="Arial" w:hAnsi="Arial" w:cs="Arial"/>
          <w:sz w:val="22"/>
          <w:szCs w:val="22"/>
          <w:lang w:val="el-GR"/>
        </w:rPr>
        <w:t xml:space="preserve">ενώ </w:t>
      </w:r>
      <w:r w:rsidRPr="000E347F">
        <w:rPr>
          <w:rFonts w:ascii="Arial" w:hAnsi="Arial" w:cs="Arial"/>
          <w:sz w:val="22"/>
          <w:szCs w:val="22"/>
        </w:rPr>
        <w:t xml:space="preserve">παράλληλα </w:t>
      </w:r>
      <w:r w:rsidRPr="000E347F">
        <w:rPr>
          <w:rFonts w:ascii="Arial" w:hAnsi="Arial" w:cs="Arial"/>
          <w:sz w:val="22"/>
          <w:szCs w:val="22"/>
          <w:lang w:val="el-GR"/>
        </w:rPr>
        <w:t xml:space="preserve">ενίσχυσε </w:t>
      </w:r>
      <w:r w:rsidRPr="000E347F">
        <w:rPr>
          <w:rFonts w:ascii="Arial" w:hAnsi="Arial" w:cs="Arial"/>
          <w:sz w:val="22"/>
          <w:szCs w:val="22"/>
        </w:rPr>
        <w:t xml:space="preserve">την αξιοπιστία </w:t>
      </w:r>
      <w:r w:rsidRPr="000E347F">
        <w:rPr>
          <w:rFonts w:ascii="Arial" w:hAnsi="Arial" w:cs="Arial"/>
          <w:sz w:val="22"/>
          <w:szCs w:val="22"/>
          <w:lang w:val="el-GR"/>
        </w:rPr>
        <w:t>σ</w:t>
      </w:r>
      <w:r w:rsidRPr="000E347F">
        <w:rPr>
          <w:rFonts w:ascii="Arial" w:hAnsi="Arial" w:cs="Arial"/>
          <w:sz w:val="22"/>
          <w:szCs w:val="22"/>
        </w:rPr>
        <w:t>τ</w:t>
      </w:r>
      <w:r w:rsidRPr="000E347F">
        <w:rPr>
          <w:rFonts w:ascii="Arial" w:hAnsi="Arial" w:cs="Arial"/>
          <w:sz w:val="22"/>
          <w:szCs w:val="22"/>
          <w:lang w:val="el-GR"/>
        </w:rPr>
        <w:t>ι</w:t>
      </w:r>
      <w:r w:rsidRPr="000E347F">
        <w:rPr>
          <w:rFonts w:ascii="Arial" w:hAnsi="Arial" w:cs="Arial"/>
          <w:sz w:val="22"/>
          <w:szCs w:val="22"/>
        </w:rPr>
        <w:t xml:space="preserve">ς </w:t>
      </w:r>
      <w:r w:rsidRPr="000E347F">
        <w:rPr>
          <w:rFonts w:ascii="Arial" w:hAnsi="Arial" w:cs="Arial"/>
          <w:sz w:val="22"/>
          <w:szCs w:val="22"/>
          <w:lang w:val="el-GR"/>
        </w:rPr>
        <w:t>αγορές</w:t>
      </w:r>
      <w:r w:rsidRPr="000E347F">
        <w:rPr>
          <w:rFonts w:ascii="Arial" w:hAnsi="Arial" w:cs="Arial"/>
          <w:sz w:val="22"/>
          <w:szCs w:val="22"/>
        </w:rPr>
        <w:t xml:space="preserve">. </w:t>
      </w:r>
    </w:p>
    <w:p w14:paraId="5DE1A0C9" w14:textId="77777777" w:rsidR="000E347F" w:rsidRPr="000E347F" w:rsidRDefault="000E347F" w:rsidP="000E347F">
      <w:pPr>
        <w:pStyle w:val="P68B1DB1-Normal5"/>
        <w:spacing w:before="120" w:line="360" w:lineRule="auto"/>
        <w:jc w:val="both"/>
        <w:rPr>
          <w:rFonts w:ascii="Arial" w:hAnsi="Arial" w:cs="Arial"/>
          <w:sz w:val="22"/>
          <w:szCs w:val="22"/>
        </w:rPr>
      </w:pPr>
      <w:r w:rsidRPr="000E347F">
        <w:rPr>
          <w:rFonts w:ascii="Arial" w:hAnsi="Arial" w:cs="Arial"/>
          <w:sz w:val="22"/>
          <w:szCs w:val="22"/>
        </w:rPr>
        <w:t xml:space="preserve">Η ζήτηση για ευρωπαϊκά κρατικά ομόλογα υψηλής ποιότητας παραμένει ισχυρή, τόσο σε εγχώριο όσο και σε διεθνές επίπεδο. Αυτό αντανακλά εν μέρει το διαρθρωτικό πλεόνασμα αποταμιεύσεων στη ζώνη του ευρώ. Ωστόσο, </w:t>
      </w:r>
      <w:r w:rsidRPr="000E347F">
        <w:rPr>
          <w:rFonts w:ascii="Arial" w:hAnsi="Arial" w:cs="Arial"/>
          <w:sz w:val="22"/>
          <w:szCs w:val="22"/>
          <w:lang w:val="el-GR"/>
        </w:rPr>
        <w:t xml:space="preserve">αυτή τη στιγμή </w:t>
      </w:r>
      <w:r w:rsidRPr="000E347F">
        <w:rPr>
          <w:rFonts w:ascii="Arial" w:hAnsi="Arial" w:cs="Arial"/>
          <w:sz w:val="22"/>
          <w:szCs w:val="22"/>
        </w:rPr>
        <w:t xml:space="preserve">σημαντικό μέρος των αποταμιεύσεών μας επενδύεται στο εξωτερικό λόγω </w:t>
      </w:r>
      <w:r w:rsidRPr="000E347F">
        <w:rPr>
          <w:rFonts w:ascii="Arial" w:hAnsi="Arial" w:cs="Arial"/>
          <w:sz w:val="22"/>
          <w:szCs w:val="22"/>
          <w:lang w:val="el-GR"/>
        </w:rPr>
        <w:t xml:space="preserve">της </w:t>
      </w:r>
      <w:r w:rsidRPr="000E347F">
        <w:rPr>
          <w:rFonts w:ascii="Arial" w:hAnsi="Arial" w:cs="Arial"/>
          <w:sz w:val="22"/>
          <w:szCs w:val="22"/>
        </w:rPr>
        <w:t xml:space="preserve">περιορισμένης προσφοράς εγχώριων τίτλων υψηλής ποιότητας. </w:t>
      </w:r>
      <w:r w:rsidRPr="000E347F">
        <w:rPr>
          <w:rFonts w:ascii="Arial" w:hAnsi="Arial" w:cs="Arial"/>
          <w:sz w:val="22"/>
          <w:szCs w:val="22"/>
          <w:lang w:val="el-GR"/>
        </w:rPr>
        <w:t xml:space="preserve">Η έκδοση σε επαρκή ποσά ενός καλά σχεδιασμένου ευρωπαϊκού ασφαλούς τίτλου </w:t>
      </w:r>
      <w:r w:rsidRPr="000E347F">
        <w:rPr>
          <w:rFonts w:ascii="Arial" w:hAnsi="Arial" w:cs="Arial"/>
          <w:sz w:val="22"/>
          <w:szCs w:val="22"/>
        </w:rPr>
        <w:t xml:space="preserve">θα συμβάλει στην απορρόφηση αυτής της ζήτησης, θα στηρίξει τη λειτουργία της αγοράς και τη χρηματοπιστωτική σταθερότητα, ενισχύοντας παράλληλα τον διεθνή ρόλο του ευρώ. </w:t>
      </w:r>
    </w:p>
    <w:p w14:paraId="33E2351C" w14:textId="77777777" w:rsidR="000E347F" w:rsidRPr="000E347F" w:rsidRDefault="000E347F" w:rsidP="000E347F">
      <w:pPr>
        <w:spacing w:before="120" w:line="360" w:lineRule="auto"/>
        <w:jc w:val="both"/>
        <w:rPr>
          <w:color w:val="auto"/>
          <w:sz w:val="22"/>
          <w:szCs w:val="22"/>
          <w:lang w:val="el-GR"/>
        </w:rPr>
      </w:pPr>
    </w:p>
    <w:p w14:paraId="081C30D7" w14:textId="77777777" w:rsidR="000E347F" w:rsidRPr="000E347F" w:rsidRDefault="000E347F" w:rsidP="000E347F">
      <w:pPr>
        <w:pStyle w:val="P68B1DB1-Normal6"/>
        <w:spacing w:before="120" w:line="360" w:lineRule="auto"/>
        <w:jc w:val="both"/>
        <w:rPr>
          <w:rFonts w:ascii="Arial" w:hAnsi="Arial" w:cs="Arial"/>
          <w:bCs/>
          <w:iCs/>
          <w:sz w:val="22"/>
          <w:szCs w:val="22"/>
        </w:rPr>
      </w:pPr>
      <w:r w:rsidRPr="000E347F">
        <w:rPr>
          <w:rFonts w:ascii="Arial" w:hAnsi="Arial" w:cs="Arial"/>
          <w:sz w:val="22"/>
          <w:szCs w:val="22"/>
        </w:rPr>
        <w:t>Μετουσίωση της δυναμικής σε δράση</w:t>
      </w:r>
    </w:p>
    <w:p w14:paraId="3C8A6E64" w14:textId="77777777" w:rsidR="000E347F" w:rsidRPr="000E347F" w:rsidRDefault="000E347F" w:rsidP="000E347F">
      <w:pPr>
        <w:pStyle w:val="P68B1DB1-Normal5"/>
        <w:spacing w:before="120" w:line="360" w:lineRule="auto"/>
        <w:jc w:val="both"/>
        <w:rPr>
          <w:rFonts w:ascii="Arial" w:hAnsi="Arial" w:cs="Arial"/>
          <w:sz w:val="22"/>
          <w:szCs w:val="22"/>
        </w:rPr>
      </w:pPr>
      <w:r w:rsidRPr="000E347F">
        <w:rPr>
          <w:rFonts w:ascii="Arial" w:hAnsi="Arial" w:cs="Arial"/>
          <w:sz w:val="22"/>
          <w:szCs w:val="22"/>
        </w:rPr>
        <w:t xml:space="preserve">Η ενεργειακή κρίση που αντιμετωπίζει σήμερα η ζώνη του ευρώ δεν αποτελεί μεμονωμένο γεγονός. Είναι </w:t>
      </w:r>
      <w:r w:rsidRPr="000E347F">
        <w:rPr>
          <w:rFonts w:ascii="Arial" w:hAnsi="Arial" w:cs="Arial"/>
          <w:sz w:val="22"/>
          <w:szCs w:val="22"/>
          <w:lang w:val="el-GR"/>
        </w:rPr>
        <w:t>η</w:t>
      </w:r>
      <w:r w:rsidRPr="000E347F">
        <w:rPr>
          <w:rFonts w:ascii="Arial" w:hAnsi="Arial" w:cs="Arial"/>
          <w:sz w:val="22"/>
          <w:szCs w:val="22"/>
        </w:rPr>
        <w:t xml:space="preserve"> πιο </w:t>
      </w:r>
      <w:r w:rsidRPr="000E347F">
        <w:rPr>
          <w:rFonts w:ascii="Arial" w:hAnsi="Arial" w:cs="Arial"/>
          <w:sz w:val="22"/>
          <w:szCs w:val="22"/>
          <w:lang w:val="el-GR"/>
        </w:rPr>
        <w:t xml:space="preserve">πρόσφατη </w:t>
      </w:r>
      <w:r w:rsidRPr="000E347F">
        <w:rPr>
          <w:rFonts w:ascii="Arial" w:hAnsi="Arial" w:cs="Arial"/>
          <w:sz w:val="22"/>
          <w:szCs w:val="22"/>
        </w:rPr>
        <w:t xml:space="preserve">από μια σειρά διαταραχών που θα πρέπει να </w:t>
      </w:r>
      <w:r w:rsidRPr="000E347F">
        <w:rPr>
          <w:rFonts w:ascii="Arial" w:hAnsi="Arial" w:cs="Arial"/>
          <w:sz w:val="22"/>
          <w:szCs w:val="22"/>
          <w:lang w:val="el-GR"/>
        </w:rPr>
        <w:t>μας αφυπνίσουν</w:t>
      </w:r>
      <w:r w:rsidRPr="000E347F">
        <w:rPr>
          <w:rFonts w:ascii="Arial" w:hAnsi="Arial" w:cs="Arial"/>
          <w:sz w:val="22"/>
          <w:szCs w:val="22"/>
        </w:rPr>
        <w:t xml:space="preserve">, τονίζοντας την επείγουσα ανάγκη για θεσμικές αλλαγές. Η μετουσίωση αυτής της δυναμικής σε συγκεκριμένη δράση θα απαιτήσει προσεκτική προετοιμασία, συντονισμένη δράση και διαρκή </w:t>
      </w:r>
      <w:r w:rsidRPr="000E347F">
        <w:rPr>
          <w:rFonts w:ascii="Arial" w:hAnsi="Arial" w:cs="Arial"/>
          <w:sz w:val="22"/>
          <w:szCs w:val="22"/>
          <w:lang w:val="el-GR"/>
        </w:rPr>
        <w:t>σύμπνοια</w:t>
      </w:r>
      <w:r w:rsidRPr="000E347F">
        <w:rPr>
          <w:rFonts w:ascii="Arial" w:hAnsi="Arial" w:cs="Arial"/>
          <w:sz w:val="22"/>
          <w:szCs w:val="22"/>
        </w:rPr>
        <w:t xml:space="preserve"> μεταξύ των κρατών</w:t>
      </w:r>
      <w:r w:rsidRPr="000E347F">
        <w:rPr>
          <w:rFonts w:ascii="Arial" w:hAnsi="Arial" w:cs="Arial"/>
          <w:sz w:val="22"/>
          <w:szCs w:val="22"/>
          <w:lang w:val="el-GR"/>
        </w:rPr>
        <w:t>-</w:t>
      </w:r>
      <w:r w:rsidRPr="000E347F">
        <w:rPr>
          <w:rFonts w:ascii="Arial" w:hAnsi="Arial" w:cs="Arial"/>
          <w:sz w:val="22"/>
          <w:szCs w:val="22"/>
        </w:rPr>
        <w:t xml:space="preserve">μελών. Το σημερινό γεωπολιτικό περιβάλλον προσφέρει μια σαφή ευκαιρία για ταχύτερη πρόοδο. Πρέπει να </w:t>
      </w:r>
      <w:r w:rsidRPr="000E347F">
        <w:rPr>
          <w:rFonts w:ascii="Arial" w:hAnsi="Arial" w:cs="Arial"/>
          <w:sz w:val="22"/>
          <w:szCs w:val="22"/>
          <w:lang w:val="el-GR"/>
        </w:rPr>
        <w:t>εκμεταλλευτούμε αυτή την ευκαιρία</w:t>
      </w:r>
      <w:r w:rsidRPr="000E347F">
        <w:rPr>
          <w:rFonts w:ascii="Arial" w:hAnsi="Arial" w:cs="Arial"/>
          <w:sz w:val="22"/>
          <w:szCs w:val="22"/>
        </w:rPr>
        <w:t xml:space="preserve"> προτού </w:t>
      </w:r>
      <w:r w:rsidRPr="000E347F">
        <w:rPr>
          <w:rFonts w:ascii="Arial" w:hAnsi="Arial" w:cs="Arial"/>
          <w:sz w:val="22"/>
          <w:szCs w:val="22"/>
          <w:lang w:val="el-GR"/>
        </w:rPr>
        <w:t>χαθεί</w:t>
      </w:r>
      <w:r w:rsidRPr="000E347F">
        <w:rPr>
          <w:rFonts w:ascii="Arial" w:hAnsi="Arial" w:cs="Arial"/>
          <w:sz w:val="22"/>
          <w:szCs w:val="22"/>
        </w:rPr>
        <w:t>.</w:t>
      </w:r>
    </w:p>
    <w:p w14:paraId="25B9B458" w14:textId="77777777" w:rsidR="000E347F" w:rsidRPr="000E347F" w:rsidRDefault="000E347F" w:rsidP="000E347F">
      <w:pPr>
        <w:pStyle w:val="P68B1DB1-Normal5"/>
        <w:spacing w:before="120" w:line="360" w:lineRule="auto"/>
        <w:jc w:val="both"/>
        <w:rPr>
          <w:rFonts w:ascii="Arial" w:hAnsi="Arial" w:cs="Arial"/>
          <w:sz w:val="22"/>
          <w:szCs w:val="22"/>
        </w:rPr>
      </w:pPr>
      <w:r w:rsidRPr="000E347F">
        <w:rPr>
          <w:rFonts w:ascii="Arial" w:hAnsi="Arial" w:cs="Arial"/>
          <w:sz w:val="22"/>
          <w:szCs w:val="22"/>
        </w:rPr>
        <w:t xml:space="preserve">Αναγνωρίζεται πλέον ευρέως </w:t>
      </w:r>
      <w:r w:rsidRPr="000E347F">
        <w:rPr>
          <w:rFonts w:ascii="Arial" w:hAnsi="Arial" w:cs="Arial"/>
          <w:sz w:val="22"/>
          <w:szCs w:val="22"/>
          <w:lang w:val="el-GR"/>
        </w:rPr>
        <w:t xml:space="preserve">στην Ευρώπη </w:t>
      </w:r>
      <w:r w:rsidRPr="000E347F">
        <w:rPr>
          <w:rFonts w:ascii="Arial" w:hAnsi="Arial" w:cs="Arial"/>
          <w:sz w:val="22"/>
          <w:szCs w:val="22"/>
        </w:rPr>
        <w:t xml:space="preserve">ότι ο στρατηγικός προσανατολισμός της πρέπει να αλλάξει ριζικά. </w:t>
      </w:r>
      <w:r w:rsidRPr="000E347F">
        <w:rPr>
          <w:rFonts w:ascii="Arial" w:hAnsi="Arial" w:cs="Arial"/>
          <w:sz w:val="22"/>
          <w:szCs w:val="22"/>
          <w:lang w:val="el-GR"/>
        </w:rPr>
        <w:t xml:space="preserve">Απαιτείται </w:t>
      </w:r>
      <w:r w:rsidRPr="000E347F">
        <w:rPr>
          <w:rFonts w:ascii="Arial" w:hAnsi="Arial" w:cs="Arial"/>
          <w:sz w:val="22"/>
          <w:szCs w:val="22"/>
        </w:rPr>
        <w:t xml:space="preserve">συλλογική αποφασιστικότητα για δράση </w:t>
      </w:r>
      <w:r w:rsidRPr="000E347F">
        <w:rPr>
          <w:rFonts w:ascii="Arial" w:hAnsi="Arial" w:cs="Arial"/>
          <w:sz w:val="22"/>
          <w:szCs w:val="22"/>
          <w:lang w:val="el-GR"/>
        </w:rPr>
        <w:t>– κ</w:t>
      </w:r>
      <w:r w:rsidRPr="000E347F">
        <w:rPr>
          <w:rFonts w:ascii="Arial" w:hAnsi="Arial" w:cs="Arial"/>
          <w:sz w:val="22"/>
          <w:szCs w:val="22"/>
        </w:rPr>
        <w:t xml:space="preserve">αι για την υλοποίηση των μεταρρυθμίσεων που θα ενισχύσουν την ανθεκτικότητα και την ανταγωνιστικότητα της Ευρώπης. Η </w:t>
      </w:r>
      <w:r w:rsidRPr="000E347F">
        <w:rPr>
          <w:rFonts w:ascii="Arial" w:hAnsi="Arial" w:cs="Arial"/>
          <w:sz w:val="22"/>
          <w:szCs w:val="22"/>
          <w:lang w:val="el-GR"/>
        </w:rPr>
        <w:t>μεγαλύτερη ενοποίηση</w:t>
      </w:r>
      <w:r w:rsidRPr="000E347F">
        <w:rPr>
          <w:rFonts w:ascii="Arial" w:hAnsi="Arial" w:cs="Arial"/>
          <w:sz w:val="22"/>
          <w:szCs w:val="22"/>
        </w:rPr>
        <w:t xml:space="preserve">, μια </w:t>
      </w:r>
      <w:r w:rsidRPr="000E347F">
        <w:rPr>
          <w:rFonts w:ascii="Arial" w:hAnsi="Arial" w:cs="Arial"/>
          <w:sz w:val="22"/>
          <w:szCs w:val="22"/>
          <w:lang w:val="el-GR"/>
        </w:rPr>
        <w:t>γνήσια</w:t>
      </w:r>
      <w:r w:rsidRPr="000E347F">
        <w:rPr>
          <w:rFonts w:ascii="Arial" w:hAnsi="Arial" w:cs="Arial"/>
          <w:sz w:val="22"/>
          <w:szCs w:val="22"/>
        </w:rPr>
        <w:t xml:space="preserve"> Ένωση Κεφαλαιαγορών, ένα</w:t>
      </w:r>
      <w:r w:rsidRPr="000E347F">
        <w:rPr>
          <w:rFonts w:ascii="Arial" w:hAnsi="Arial" w:cs="Arial"/>
          <w:sz w:val="22"/>
          <w:szCs w:val="22"/>
          <w:lang w:val="el-GR"/>
        </w:rPr>
        <w:t xml:space="preserve"> ασφαλές ευρωπαϊκό περιουσιακό στοιχείο</w:t>
      </w:r>
      <w:r w:rsidRPr="000E347F">
        <w:rPr>
          <w:rFonts w:ascii="Arial" w:hAnsi="Arial" w:cs="Arial"/>
          <w:sz w:val="22"/>
          <w:szCs w:val="22"/>
        </w:rPr>
        <w:t xml:space="preserve"> και μια συντονισμένη επενδυτική στρατηγική δεν είναι </w:t>
      </w:r>
      <w:r w:rsidRPr="000E347F">
        <w:rPr>
          <w:rFonts w:ascii="Arial" w:hAnsi="Arial" w:cs="Arial"/>
          <w:sz w:val="22"/>
          <w:szCs w:val="22"/>
        </w:rPr>
        <w:lastRenderedPageBreak/>
        <w:t>αφηρημένες φιλοδοξίες. Αποτελούν απαραίτητες προϋποθέσεις για μια Ευρώπη πιο ανθεκτική στους κλυδωνισμούς.</w:t>
      </w:r>
    </w:p>
    <w:p w14:paraId="6048486B" w14:textId="77777777" w:rsidR="000E347F" w:rsidRPr="000E347F" w:rsidRDefault="000E347F" w:rsidP="000E347F">
      <w:pPr>
        <w:pStyle w:val="P68B1DB1-Normal5"/>
        <w:tabs>
          <w:tab w:val="left" w:pos="426"/>
        </w:tabs>
        <w:spacing w:before="120" w:line="360" w:lineRule="auto"/>
        <w:jc w:val="both"/>
        <w:rPr>
          <w:rFonts w:ascii="Arial" w:hAnsi="Arial" w:cs="Arial"/>
          <w:sz w:val="22"/>
          <w:szCs w:val="22"/>
        </w:rPr>
      </w:pPr>
      <w:r w:rsidRPr="000E347F">
        <w:rPr>
          <w:rFonts w:ascii="Arial" w:hAnsi="Arial" w:cs="Arial"/>
          <w:sz w:val="22"/>
          <w:szCs w:val="22"/>
          <w:lang w:val="el-GR"/>
        </w:rPr>
        <w:t>Αυτές οι δράσεις συνδέονται</w:t>
      </w:r>
      <w:r w:rsidRPr="000E347F">
        <w:rPr>
          <w:rFonts w:ascii="Arial" w:hAnsi="Arial" w:cs="Arial"/>
          <w:sz w:val="22"/>
          <w:szCs w:val="22"/>
        </w:rPr>
        <w:t xml:space="preserve"> στενά με τη νομισματική πολιτική. Η πρόοδος προς μια βαθύτερη ένωση κεφαλαιαγορών θα συμβάλει στον μετριασμό του κατακερματισμού των χρηματοπιστωτικών αγορών και θα διασφαλίσει την ομαλή μετάδοση της νομισματικής πολιτικής σε όλες τις </w:t>
      </w:r>
      <w:r w:rsidRPr="000E347F">
        <w:rPr>
          <w:rFonts w:ascii="Arial" w:hAnsi="Arial" w:cs="Arial"/>
          <w:sz w:val="22"/>
          <w:szCs w:val="22"/>
          <w:lang w:val="el-GR"/>
        </w:rPr>
        <w:t>οικονομίες</w:t>
      </w:r>
      <w:r w:rsidRPr="000E347F">
        <w:rPr>
          <w:rFonts w:ascii="Arial" w:hAnsi="Arial" w:cs="Arial"/>
          <w:sz w:val="22"/>
          <w:szCs w:val="22"/>
        </w:rPr>
        <w:t xml:space="preserve">. Ένα πιο ενοποιημένο και διαφοροποιημένο χρηματοπιστωτικό σύστημα θα ενισχύσει επίσης την ανθεκτικότητα, βελτιώνοντας το περιβάλλον εντός του οποίου η νομισματική πολιτική μπορεί να λειτουργήσει με μεγαλύτερη αποτελεσματικότητα. </w:t>
      </w:r>
    </w:p>
    <w:p w14:paraId="500F1067" w14:textId="77777777" w:rsidR="000E347F" w:rsidRPr="000E347F" w:rsidRDefault="000E347F" w:rsidP="000E347F">
      <w:pPr>
        <w:pStyle w:val="P68B1DB1-Normal5"/>
        <w:tabs>
          <w:tab w:val="left" w:pos="426"/>
        </w:tabs>
        <w:spacing w:before="120" w:line="360" w:lineRule="auto"/>
        <w:jc w:val="both"/>
        <w:rPr>
          <w:rFonts w:ascii="Arial" w:hAnsi="Arial" w:cs="Arial"/>
          <w:sz w:val="22"/>
          <w:szCs w:val="22"/>
        </w:rPr>
      </w:pPr>
      <w:r w:rsidRPr="000E347F">
        <w:rPr>
          <w:rFonts w:ascii="Arial" w:hAnsi="Arial" w:cs="Arial"/>
          <w:sz w:val="22"/>
          <w:szCs w:val="22"/>
          <w:lang w:val="el-GR"/>
        </w:rPr>
        <w:t>Εξίσου σημαντική είναι και η ύπαρξη υγιών και αξιόπιστων δημοσιονομικών πλαισίων</w:t>
      </w:r>
      <w:r w:rsidRPr="000E347F">
        <w:rPr>
          <w:rFonts w:ascii="Arial" w:hAnsi="Arial" w:cs="Arial"/>
          <w:sz w:val="22"/>
          <w:szCs w:val="22"/>
        </w:rPr>
        <w:t xml:space="preserve">. Η δημοσιονομική πολιτική που είναι συνεπής με τη σταθερότητα των τιμών, αποφεύγοντας </w:t>
      </w:r>
      <w:r w:rsidRPr="000E347F">
        <w:rPr>
          <w:rFonts w:ascii="Arial" w:hAnsi="Arial" w:cs="Arial"/>
          <w:sz w:val="22"/>
          <w:szCs w:val="22"/>
          <w:lang w:val="el-GR"/>
        </w:rPr>
        <w:t xml:space="preserve">τα </w:t>
      </w:r>
      <w:proofErr w:type="spellStart"/>
      <w:r w:rsidRPr="000E347F">
        <w:rPr>
          <w:rFonts w:ascii="Arial" w:hAnsi="Arial" w:cs="Arial"/>
          <w:sz w:val="22"/>
          <w:szCs w:val="22"/>
          <w:lang w:val="el-GR"/>
        </w:rPr>
        <w:t>υπερκυκλικά</w:t>
      </w:r>
      <w:proofErr w:type="spellEnd"/>
      <w:r w:rsidRPr="000E347F">
        <w:rPr>
          <w:rFonts w:ascii="Arial" w:hAnsi="Arial" w:cs="Arial"/>
          <w:sz w:val="22"/>
          <w:szCs w:val="22"/>
          <w:lang w:val="el-GR"/>
        </w:rPr>
        <w:t xml:space="preserve"> μέτρα</w:t>
      </w:r>
      <w:r w:rsidRPr="000E347F">
        <w:rPr>
          <w:rFonts w:ascii="Arial" w:hAnsi="Arial" w:cs="Arial"/>
          <w:sz w:val="22"/>
          <w:szCs w:val="22"/>
        </w:rPr>
        <w:t xml:space="preserve">, στηρίζει την αποτελεσματική μετάδοση της νομισματικής πολιτικής. Τυχόν αντιδράσεις </w:t>
      </w:r>
      <w:r w:rsidRPr="000E347F">
        <w:rPr>
          <w:rFonts w:ascii="Arial" w:hAnsi="Arial" w:cs="Arial"/>
          <w:sz w:val="22"/>
          <w:szCs w:val="22"/>
          <w:lang w:val="el-GR"/>
        </w:rPr>
        <w:t>της δημοσιονομικής</w:t>
      </w:r>
      <w:r w:rsidRPr="000E347F">
        <w:rPr>
          <w:rFonts w:ascii="Arial" w:hAnsi="Arial" w:cs="Arial"/>
          <w:sz w:val="22"/>
          <w:szCs w:val="22"/>
        </w:rPr>
        <w:t xml:space="preserve"> </w:t>
      </w:r>
      <w:r w:rsidRPr="000E347F">
        <w:rPr>
          <w:rFonts w:ascii="Arial" w:hAnsi="Arial" w:cs="Arial"/>
          <w:sz w:val="22"/>
          <w:szCs w:val="22"/>
          <w:lang w:val="el-GR"/>
        </w:rPr>
        <w:t>πολιτικής στη</w:t>
      </w:r>
      <w:r w:rsidRPr="000E347F">
        <w:rPr>
          <w:rFonts w:ascii="Arial" w:hAnsi="Arial" w:cs="Arial"/>
          <w:sz w:val="22"/>
          <w:szCs w:val="22"/>
        </w:rPr>
        <w:t xml:space="preserve"> </w:t>
      </w:r>
      <w:r w:rsidRPr="000E347F">
        <w:rPr>
          <w:rFonts w:ascii="Arial" w:hAnsi="Arial" w:cs="Arial"/>
          <w:sz w:val="22"/>
          <w:szCs w:val="22"/>
          <w:lang w:val="el-GR"/>
        </w:rPr>
        <w:t xml:space="preserve">διαταραχή </w:t>
      </w:r>
      <w:r w:rsidRPr="000E347F">
        <w:rPr>
          <w:rFonts w:ascii="Arial" w:hAnsi="Arial" w:cs="Arial"/>
          <w:sz w:val="22"/>
          <w:szCs w:val="22"/>
        </w:rPr>
        <w:t xml:space="preserve">των τιμών της ενέργειας θα πρέπει να είναι προσωρινές, </w:t>
      </w:r>
      <w:proofErr w:type="spellStart"/>
      <w:r w:rsidRPr="000E347F">
        <w:rPr>
          <w:rFonts w:ascii="Arial" w:hAnsi="Arial" w:cs="Arial"/>
          <w:sz w:val="22"/>
          <w:szCs w:val="22"/>
        </w:rPr>
        <w:t>στοχευμένες</w:t>
      </w:r>
      <w:proofErr w:type="spellEnd"/>
      <w:r w:rsidRPr="000E347F">
        <w:rPr>
          <w:rFonts w:ascii="Arial" w:hAnsi="Arial" w:cs="Arial"/>
          <w:sz w:val="22"/>
          <w:szCs w:val="22"/>
        </w:rPr>
        <w:t xml:space="preserve"> και </w:t>
      </w:r>
      <w:r w:rsidRPr="000E347F">
        <w:rPr>
          <w:rFonts w:ascii="Arial" w:hAnsi="Arial" w:cs="Arial"/>
          <w:sz w:val="22"/>
          <w:szCs w:val="22"/>
          <w:lang w:val="el-GR"/>
        </w:rPr>
        <w:t xml:space="preserve">ειδικά </w:t>
      </w:r>
      <w:proofErr w:type="spellStart"/>
      <w:r w:rsidRPr="000E347F">
        <w:rPr>
          <w:rFonts w:ascii="Arial" w:hAnsi="Arial" w:cs="Arial"/>
          <w:sz w:val="22"/>
          <w:szCs w:val="22"/>
          <w:lang w:val="el-GR"/>
        </w:rPr>
        <w:t>σχεδια</w:t>
      </w:r>
      <w:r w:rsidRPr="000E347F">
        <w:rPr>
          <w:rFonts w:ascii="Arial" w:hAnsi="Arial" w:cs="Arial"/>
          <w:sz w:val="22"/>
          <w:szCs w:val="22"/>
        </w:rPr>
        <w:t>σμένες</w:t>
      </w:r>
      <w:proofErr w:type="spellEnd"/>
      <w:r w:rsidRPr="000E347F">
        <w:rPr>
          <w:rFonts w:ascii="Arial" w:hAnsi="Arial" w:cs="Arial"/>
          <w:sz w:val="22"/>
          <w:szCs w:val="22"/>
        </w:rPr>
        <w:t xml:space="preserve">. Η </w:t>
      </w:r>
      <w:proofErr w:type="spellStart"/>
      <w:r w:rsidRPr="000E347F">
        <w:rPr>
          <w:rFonts w:ascii="Arial" w:hAnsi="Arial" w:cs="Arial"/>
          <w:sz w:val="22"/>
          <w:szCs w:val="22"/>
        </w:rPr>
        <w:t>διατηρησιμότητα</w:t>
      </w:r>
      <w:proofErr w:type="spellEnd"/>
      <w:r w:rsidRPr="000E347F">
        <w:rPr>
          <w:rFonts w:ascii="Arial" w:hAnsi="Arial" w:cs="Arial"/>
          <w:sz w:val="22"/>
          <w:szCs w:val="22"/>
        </w:rPr>
        <w:t xml:space="preserve"> των δημόσιων οικονομικών εξακολουθεί να αποτελεί προϋπόθεση για τη μακροπρόθεσμη οικονομική ανθεκτικότητα.</w:t>
      </w:r>
    </w:p>
    <w:p w14:paraId="6CF52FF5" w14:textId="77777777" w:rsidR="000E347F" w:rsidRPr="000E347F" w:rsidRDefault="000E347F" w:rsidP="000E347F">
      <w:pPr>
        <w:pStyle w:val="P68B1DB1-Normal5"/>
        <w:tabs>
          <w:tab w:val="left" w:pos="426"/>
        </w:tabs>
        <w:spacing w:before="120" w:line="360" w:lineRule="auto"/>
        <w:jc w:val="both"/>
        <w:rPr>
          <w:rFonts w:ascii="Arial" w:hAnsi="Arial" w:cs="Arial"/>
          <w:iCs/>
          <w:sz w:val="22"/>
          <w:szCs w:val="22"/>
        </w:rPr>
      </w:pPr>
      <w:r w:rsidRPr="000E347F">
        <w:rPr>
          <w:rFonts w:ascii="Arial" w:hAnsi="Arial" w:cs="Arial"/>
          <w:sz w:val="22"/>
          <w:szCs w:val="22"/>
        </w:rPr>
        <w:t xml:space="preserve">Ο </w:t>
      </w:r>
      <w:proofErr w:type="spellStart"/>
      <w:r w:rsidRPr="000E347F">
        <w:rPr>
          <w:rFonts w:ascii="Arial" w:hAnsi="Arial" w:cs="Arial"/>
          <w:sz w:val="22"/>
          <w:szCs w:val="22"/>
        </w:rPr>
        <w:t>Peter</w:t>
      </w:r>
      <w:proofErr w:type="spellEnd"/>
      <w:r w:rsidRPr="000E347F">
        <w:rPr>
          <w:rFonts w:ascii="Arial" w:hAnsi="Arial" w:cs="Arial"/>
          <w:sz w:val="22"/>
          <w:szCs w:val="22"/>
        </w:rPr>
        <w:t xml:space="preserve"> </w:t>
      </w:r>
      <w:proofErr w:type="spellStart"/>
      <w:r w:rsidRPr="000E347F">
        <w:rPr>
          <w:rFonts w:ascii="Arial" w:hAnsi="Arial" w:cs="Arial"/>
          <w:sz w:val="22"/>
          <w:szCs w:val="22"/>
        </w:rPr>
        <w:t>Drucker</w:t>
      </w:r>
      <w:proofErr w:type="spellEnd"/>
      <w:r w:rsidRPr="000E347F">
        <w:rPr>
          <w:rFonts w:ascii="Arial" w:hAnsi="Arial" w:cs="Arial"/>
          <w:sz w:val="22"/>
          <w:szCs w:val="22"/>
        </w:rPr>
        <w:t xml:space="preserve">, </w:t>
      </w:r>
      <w:r w:rsidRPr="000E347F">
        <w:rPr>
          <w:rFonts w:ascii="Arial" w:hAnsi="Arial" w:cs="Arial"/>
          <w:sz w:val="22"/>
          <w:szCs w:val="22"/>
          <w:lang w:val="el-GR"/>
        </w:rPr>
        <w:t>“πατέρας” του σύγχρονου μάνατζμεντ</w:t>
      </w:r>
      <w:r w:rsidRPr="000E347F">
        <w:rPr>
          <w:rFonts w:ascii="Arial" w:hAnsi="Arial" w:cs="Arial"/>
          <w:sz w:val="22"/>
          <w:szCs w:val="22"/>
        </w:rPr>
        <w:t xml:space="preserve">, </w:t>
      </w:r>
      <w:r w:rsidRPr="000E347F">
        <w:rPr>
          <w:rFonts w:ascii="Arial" w:hAnsi="Arial" w:cs="Arial"/>
          <w:sz w:val="22"/>
          <w:szCs w:val="22"/>
          <w:lang w:val="el-GR"/>
        </w:rPr>
        <w:t xml:space="preserve">είπε </w:t>
      </w:r>
      <w:r w:rsidRPr="000E347F">
        <w:rPr>
          <w:rFonts w:ascii="Arial" w:hAnsi="Arial" w:cs="Arial"/>
          <w:sz w:val="22"/>
          <w:szCs w:val="22"/>
        </w:rPr>
        <w:t xml:space="preserve">κάποτε ότι </w:t>
      </w:r>
      <w:r w:rsidRPr="000E347F">
        <w:rPr>
          <w:rFonts w:ascii="Arial" w:hAnsi="Arial" w:cs="Arial"/>
          <w:sz w:val="22"/>
          <w:szCs w:val="22"/>
          <w:lang w:val="el-GR"/>
        </w:rPr>
        <w:t>“</w:t>
      </w:r>
      <w:r w:rsidRPr="000E347F">
        <w:rPr>
          <w:rFonts w:ascii="Arial" w:hAnsi="Arial" w:cs="Arial"/>
          <w:sz w:val="22"/>
          <w:szCs w:val="22"/>
        </w:rPr>
        <w:t xml:space="preserve">ο μεγαλύτερος κίνδυνος σε περιόδους αναταραχών δεν είναι η ίδια η αναταραχή, αλλά η </w:t>
      </w:r>
      <w:r w:rsidRPr="000E347F">
        <w:rPr>
          <w:rFonts w:ascii="Arial" w:hAnsi="Arial" w:cs="Arial"/>
          <w:sz w:val="22"/>
          <w:szCs w:val="22"/>
          <w:lang w:val="el-GR"/>
        </w:rPr>
        <w:t xml:space="preserve">αντίδραση με τη </w:t>
      </w:r>
      <w:r w:rsidRPr="000E347F">
        <w:rPr>
          <w:rFonts w:ascii="Arial" w:hAnsi="Arial" w:cs="Arial"/>
          <w:sz w:val="22"/>
          <w:szCs w:val="22"/>
        </w:rPr>
        <w:t>λογική</w:t>
      </w:r>
      <w:r w:rsidRPr="000E347F">
        <w:rPr>
          <w:rFonts w:ascii="Arial" w:hAnsi="Arial" w:cs="Arial"/>
          <w:sz w:val="22"/>
          <w:szCs w:val="22"/>
          <w:lang w:val="el-GR"/>
        </w:rPr>
        <w:t xml:space="preserve"> του χθες”</w:t>
      </w:r>
      <w:r w:rsidRPr="000E347F">
        <w:rPr>
          <w:rFonts w:ascii="Arial" w:hAnsi="Arial" w:cs="Arial"/>
          <w:sz w:val="22"/>
          <w:szCs w:val="22"/>
        </w:rPr>
        <w:t xml:space="preserve">. </w:t>
      </w:r>
      <w:r w:rsidRPr="000E347F">
        <w:rPr>
          <w:rFonts w:ascii="Arial" w:hAnsi="Arial" w:cs="Arial"/>
          <w:sz w:val="22"/>
          <w:szCs w:val="22"/>
          <w:lang w:val="el-GR"/>
        </w:rPr>
        <w:t xml:space="preserve">Αυτή η προειδοποίηση είναι εξαιρετικά επίκαιρη. </w:t>
      </w:r>
      <w:r w:rsidRPr="000E347F">
        <w:rPr>
          <w:rFonts w:ascii="Arial" w:hAnsi="Arial" w:cs="Arial"/>
          <w:sz w:val="22"/>
          <w:szCs w:val="22"/>
        </w:rPr>
        <w:t xml:space="preserve">Οι θεσμικές απαντήσεις του παρελθόντος δεν επαρκούν για τις μελλοντικές προκλήσεις. </w:t>
      </w:r>
      <w:r w:rsidRPr="000E347F">
        <w:rPr>
          <w:rFonts w:ascii="Arial" w:hAnsi="Arial" w:cs="Arial"/>
          <w:sz w:val="22"/>
          <w:szCs w:val="22"/>
          <w:lang w:val="el-GR"/>
        </w:rPr>
        <w:t xml:space="preserve">Αυτή τη στιγμή έχει ανοίξει </w:t>
      </w:r>
      <w:r w:rsidRPr="000E347F">
        <w:rPr>
          <w:rFonts w:ascii="Arial" w:hAnsi="Arial" w:cs="Arial"/>
          <w:sz w:val="22"/>
          <w:szCs w:val="22"/>
        </w:rPr>
        <w:t>ένα παράθυρο ευκαιρίας</w:t>
      </w:r>
      <w:r w:rsidRPr="000E347F">
        <w:rPr>
          <w:rFonts w:ascii="Arial" w:hAnsi="Arial" w:cs="Arial"/>
          <w:sz w:val="22"/>
          <w:szCs w:val="22"/>
          <w:lang w:val="el-GR"/>
        </w:rPr>
        <w:t xml:space="preserve"> – έστω και βίαια, λόγω της τρέχουσας κρίσης</w:t>
      </w:r>
      <w:r w:rsidRPr="000E347F">
        <w:rPr>
          <w:rFonts w:ascii="Arial" w:hAnsi="Arial" w:cs="Arial"/>
          <w:sz w:val="22"/>
          <w:szCs w:val="22"/>
        </w:rPr>
        <w:t xml:space="preserve">. Δεν θα μείνει </w:t>
      </w:r>
      <w:r w:rsidRPr="000E347F">
        <w:rPr>
          <w:rFonts w:ascii="Arial" w:hAnsi="Arial" w:cs="Arial"/>
          <w:sz w:val="22"/>
          <w:szCs w:val="22"/>
          <w:lang w:val="el-GR"/>
        </w:rPr>
        <w:t xml:space="preserve">ανοικτό </w:t>
      </w:r>
      <w:r w:rsidRPr="000E347F">
        <w:rPr>
          <w:rFonts w:ascii="Arial" w:hAnsi="Arial" w:cs="Arial"/>
          <w:sz w:val="22"/>
          <w:szCs w:val="22"/>
        </w:rPr>
        <w:t>επ’ </w:t>
      </w:r>
      <w:proofErr w:type="spellStart"/>
      <w:r w:rsidRPr="000E347F">
        <w:rPr>
          <w:rFonts w:ascii="Arial" w:hAnsi="Arial" w:cs="Arial"/>
          <w:sz w:val="22"/>
          <w:szCs w:val="22"/>
        </w:rPr>
        <w:t>αόριστον</w:t>
      </w:r>
      <w:proofErr w:type="spellEnd"/>
      <w:r w:rsidRPr="000E347F">
        <w:rPr>
          <w:rFonts w:ascii="Arial" w:hAnsi="Arial" w:cs="Arial"/>
          <w:sz w:val="22"/>
          <w:szCs w:val="22"/>
        </w:rPr>
        <w:t xml:space="preserve">. Το καθήκον που έχουμε μπροστά μας είναι </w:t>
      </w:r>
      <w:r w:rsidRPr="000E347F">
        <w:rPr>
          <w:rFonts w:ascii="Arial" w:hAnsi="Arial" w:cs="Arial"/>
          <w:sz w:val="22"/>
          <w:szCs w:val="22"/>
          <w:lang w:val="el-GR"/>
        </w:rPr>
        <w:t>ξεκάθαρο</w:t>
      </w:r>
      <w:r w:rsidRPr="000E347F">
        <w:rPr>
          <w:rFonts w:ascii="Arial" w:hAnsi="Arial" w:cs="Arial"/>
          <w:sz w:val="22"/>
          <w:szCs w:val="22"/>
        </w:rPr>
        <w:t xml:space="preserve">: να δράσουμε με </w:t>
      </w:r>
      <w:r w:rsidRPr="000E347F">
        <w:rPr>
          <w:rFonts w:ascii="Arial" w:hAnsi="Arial" w:cs="Arial"/>
          <w:sz w:val="22"/>
          <w:szCs w:val="22"/>
          <w:lang w:val="el-GR"/>
        </w:rPr>
        <w:t xml:space="preserve">τη </w:t>
      </w:r>
      <w:r w:rsidRPr="000E347F">
        <w:rPr>
          <w:rFonts w:ascii="Arial" w:hAnsi="Arial" w:cs="Arial"/>
          <w:sz w:val="22"/>
          <w:szCs w:val="22"/>
        </w:rPr>
        <w:t xml:space="preserve">φιλοδοξία, </w:t>
      </w:r>
      <w:r w:rsidRPr="000E347F">
        <w:rPr>
          <w:rFonts w:ascii="Arial" w:hAnsi="Arial" w:cs="Arial"/>
          <w:sz w:val="22"/>
          <w:szCs w:val="22"/>
          <w:lang w:val="el-GR"/>
        </w:rPr>
        <w:t xml:space="preserve">την </w:t>
      </w:r>
      <w:r w:rsidRPr="000E347F">
        <w:rPr>
          <w:rFonts w:ascii="Arial" w:hAnsi="Arial" w:cs="Arial"/>
          <w:sz w:val="22"/>
          <w:szCs w:val="22"/>
        </w:rPr>
        <w:t xml:space="preserve">ετοιμότητα </w:t>
      </w:r>
      <w:r w:rsidRPr="000E347F">
        <w:rPr>
          <w:rFonts w:ascii="Arial" w:hAnsi="Arial" w:cs="Arial"/>
          <w:sz w:val="22"/>
          <w:szCs w:val="22"/>
          <w:lang w:val="el-GR"/>
        </w:rPr>
        <w:t xml:space="preserve">και τη </w:t>
      </w:r>
      <w:r w:rsidRPr="000E347F">
        <w:rPr>
          <w:rFonts w:ascii="Arial" w:hAnsi="Arial" w:cs="Arial"/>
          <w:sz w:val="22"/>
          <w:szCs w:val="22"/>
        </w:rPr>
        <w:t xml:space="preserve">συλλογική αποφασιστικότητα που </w:t>
      </w:r>
      <w:r w:rsidRPr="000E347F">
        <w:rPr>
          <w:rFonts w:ascii="Arial" w:hAnsi="Arial" w:cs="Arial"/>
          <w:sz w:val="22"/>
          <w:szCs w:val="22"/>
          <w:lang w:val="el-GR"/>
        </w:rPr>
        <w:t xml:space="preserve">επιτάσσει </w:t>
      </w:r>
      <w:r w:rsidRPr="000E347F">
        <w:rPr>
          <w:rFonts w:ascii="Arial" w:hAnsi="Arial" w:cs="Arial"/>
          <w:sz w:val="22"/>
          <w:szCs w:val="22"/>
        </w:rPr>
        <w:t>μια τέτοια στιγμή.</w:t>
      </w:r>
    </w:p>
    <w:p w14:paraId="29F6E19C" w14:textId="77777777" w:rsidR="000E347F" w:rsidRPr="000E347F" w:rsidRDefault="000E347F" w:rsidP="00532D50">
      <w:pPr>
        <w:spacing w:before="120" w:line="360" w:lineRule="auto"/>
        <w:jc w:val="both"/>
        <w:rPr>
          <w:bCs/>
          <w:sz w:val="22"/>
          <w:szCs w:val="22"/>
          <w:lang w:val="el"/>
        </w:rPr>
      </w:pPr>
    </w:p>
    <w:p w14:paraId="6966E179" w14:textId="77777777" w:rsidR="000E347F" w:rsidRDefault="000E347F" w:rsidP="00532D50">
      <w:pPr>
        <w:spacing w:before="120" w:line="360" w:lineRule="auto"/>
        <w:jc w:val="both"/>
        <w:rPr>
          <w:bCs/>
          <w:sz w:val="22"/>
          <w:szCs w:val="22"/>
          <w:lang w:val="el-GR"/>
        </w:rPr>
      </w:pPr>
    </w:p>
    <w:sectPr w:rsidR="000E347F" w:rsidSect="00AF0C3C">
      <w:footerReference w:type="default" r:id="rId8"/>
      <w:pgSz w:w="11906" w:h="16838"/>
      <w:pgMar w:top="1276" w:right="1418" w:bottom="1418" w:left="1418" w:header="720" w:footer="2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A7C44" w14:textId="77777777" w:rsidR="00167A09" w:rsidRDefault="00167A09">
      <w:r>
        <w:separator/>
      </w:r>
    </w:p>
  </w:endnote>
  <w:endnote w:type="continuationSeparator" w:id="0">
    <w:p w14:paraId="77C1BEF4" w14:textId="77777777" w:rsidR="00167A09" w:rsidRDefault="0016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Black">
    <w:panose1 w:val="020B0A04020102020204"/>
    <w:charset w:val="A1"/>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108" w:type="dxa"/>
      <w:tblBorders>
        <w:left w:val="single" w:sz="48" w:space="0" w:color="DEA400"/>
      </w:tblBorders>
      <w:tblLook w:val="0000" w:firstRow="0" w:lastRow="0" w:firstColumn="0" w:lastColumn="0" w:noHBand="0" w:noVBand="0"/>
    </w:tblPr>
    <w:tblGrid>
      <w:gridCol w:w="4917"/>
      <w:gridCol w:w="4581"/>
    </w:tblGrid>
    <w:tr w:rsidR="00846D41" w:rsidRPr="00766A4F" w14:paraId="229AD5A5" w14:textId="77777777" w:rsidTr="00524217">
      <w:tc>
        <w:tcPr>
          <w:tcW w:w="4917" w:type="dxa"/>
          <w:tcBorders>
            <w:left w:val="single" w:sz="48" w:space="0" w:color="BC9E6E"/>
          </w:tcBorders>
        </w:tcPr>
        <w:p w14:paraId="6D85BA67" w14:textId="77777777" w:rsidR="00846D41" w:rsidRDefault="00846D41" w:rsidP="00846D41">
          <w:pPr>
            <w:pStyle w:val="Footer"/>
            <w:tabs>
              <w:tab w:val="left" w:pos="5220"/>
            </w:tabs>
            <w:spacing w:before="60" w:after="60"/>
            <w:ind w:firstLine="176"/>
            <w:rPr>
              <w:rFonts w:ascii="Arial" w:hAnsi="Arial" w:cs="Arial"/>
              <w:sz w:val="14"/>
              <w:lang w:val="el-GR"/>
            </w:rPr>
          </w:pPr>
          <w:r w:rsidRPr="00766A4F">
            <w:rPr>
              <w:rFonts w:ascii="Arial" w:hAnsi="Arial" w:cs="Arial"/>
              <w:sz w:val="14"/>
              <w:lang w:val="el-GR"/>
            </w:rPr>
            <w:t>Ελ. Βενιζέλου 21, Αθήνα 10250</w:t>
          </w:r>
        </w:p>
        <w:p w14:paraId="3E4D054B" w14:textId="77777777" w:rsidR="00846D41" w:rsidRDefault="00846D41" w:rsidP="00846D41">
          <w:pPr>
            <w:pStyle w:val="Footer"/>
            <w:tabs>
              <w:tab w:val="left" w:pos="5220"/>
            </w:tabs>
            <w:spacing w:before="60" w:after="60"/>
            <w:ind w:firstLine="176"/>
            <w:rPr>
              <w:rFonts w:ascii="Arial" w:hAnsi="Arial" w:cs="Arial"/>
              <w:sz w:val="14"/>
              <w:lang w:val="el-GR"/>
            </w:rPr>
          </w:pPr>
          <w:proofErr w:type="spellStart"/>
          <w:r w:rsidRPr="00766A4F">
            <w:rPr>
              <w:rFonts w:ascii="Arial" w:hAnsi="Arial" w:cs="Arial"/>
              <w:sz w:val="14"/>
              <w:lang w:val="el-GR"/>
            </w:rPr>
            <w:t>Τηλ</w:t>
          </w:r>
          <w:proofErr w:type="spellEnd"/>
          <w:r w:rsidRPr="00DA2D5C">
            <w:rPr>
              <w:rFonts w:ascii="Arial" w:hAnsi="Arial" w:cs="Arial"/>
              <w:sz w:val="14"/>
              <w:lang w:val="el-GR"/>
            </w:rPr>
            <w:t>:</w:t>
          </w:r>
          <w:r w:rsidRPr="005B1F16">
            <w:rPr>
              <w:rFonts w:ascii="Arial" w:hAnsi="Arial" w:cs="Arial"/>
              <w:sz w:val="14"/>
              <w:lang w:val="el-GR"/>
            </w:rPr>
            <w:t xml:space="preserve"> 210</w:t>
          </w:r>
          <w:r>
            <w:rPr>
              <w:rFonts w:ascii="Arial" w:hAnsi="Arial" w:cs="Arial"/>
              <w:sz w:val="14"/>
              <w:lang w:val="el-GR"/>
            </w:rPr>
            <w:t xml:space="preserve"> </w:t>
          </w:r>
          <w:r w:rsidRPr="005B1F16">
            <w:rPr>
              <w:rFonts w:ascii="Arial" w:hAnsi="Arial" w:cs="Arial"/>
              <w:sz w:val="14"/>
              <w:lang w:val="el-GR"/>
            </w:rPr>
            <w:t>320</w:t>
          </w:r>
          <w:r>
            <w:rPr>
              <w:rFonts w:ascii="Arial" w:hAnsi="Arial" w:cs="Arial"/>
              <w:sz w:val="14"/>
              <w:lang w:val="el-GR"/>
            </w:rPr>
            <w:t xml:space="preserve"> </w:t>
          </w:r>
          <w:r w:rsidRPr="005B1F16">
            <w:rPr>
              <w:rFonts w:ascii="Arial" w:hAnsi="Arial" w:cs="Arial"/>
              <w:sz w:val="14"/>
              <w:lang w:val="el-GR"/>
            </w:rPr>
            <w:t>3446-8</w:t>
          </w:r>
        </w:p>
        <w:p w14:paraId="2BD0DC19" w14:textId="77777777" w:rsidR="00846D41" w:rsidRDefault="00846D41" w:rsidP="00846D41">
          <w:pPr>
            <w:pStyle w:val="Footer"/>
            <w:tabs>
              <w:tab w:val="left" w:pos="5220"/>
            </w:tabs>
            <w:spacing w:before="60" w:after="60"/>
            <w:ind w:firstLine="176"/>
            <w:rPr>
              <w:rFonts w:ascii="Arial" w:hAnsi="Arial" w:cs="Arial"/>
              <w:sz w:val="14"/>
              <w:lang w:val="el-GR"/>
            </w:rPr>
          </w:pPr>
          <w:hyperlink r:id="rId1" w:history="1">
            <w:r w:rsidRPr="00E06524">
              <w:rPr>
                <w:rStyle w:val="Hyperlink"/>
                <w:rFonts w:ascii="Arial" w:hAnsi="Arial" w:cs="Arial"/>
                <w:sz w:val="14"/>
                <w:lang w:val="en-US"/>
              </w:rPr>
              <w:t>press</w:t>
            </w:r>
            <w:r w:rsidRPr="006B5E1E">
              <w:rPr>
                <w:rStyle w:val="Hyperlink"/>
                <w:rFonts w:ascii="Arial" w:hAnsi="Arial" w:cs="Arial"/>
                <w:sz w:val="14"/>
                <w:lang w:val="el-GR"/>
              </w:rPr>
              <w:t>@</w:t>
            </w:r>
            <w:r w:rsidRPr="00E06524">
              <w:rPr>
                <w:rStyle w:val="Hyperlink"/>
                <w:rFonts w:ascii="Arial" w:hAnsi="Arial" w:cs="Arial"/>
                <w:sz w:val="14"/>
                <w:lang w:val="en-US"/>
              </w:rPr>
              <w:t>bankofgreece</w:t>
            </w:r>
            <w:r w:rsidRPr="006B5E1E">
              <w:rPr>
                <w:rStyle w:val="Hyperlink"/>
                <w:rFonts w:ascii="Arial" w:hAnsi="Arial" w:cs="Arial"/>
                <w:sz w:val="14"/>
                <w:lang w:val="el-GR"/>
              </w:rPr>
              <w:t>.</w:t>
            </w:r>
            <w:r w:rsidRPr="00E06524">
              <w:rPr>
                <w:rStyle w:val="Hyperlink"/>
                <w:rFonts w:ascii="Arial" w:hAnsi="Arial" w:cs="Arial"/>
                <w:sz w:val="14"/>
                <w:lang w:val="en-US"/>
              </w:rPr>
              <w:t>gr</w:t>
            </w:r>
          </w:hyperlink>
          <w:r>
            <w:rPr>
              <w:rFonts w:ascii="Arial" w:hAnsi="Arial" w:cs="Arial"/>
              <w:sz w:val="14"/>
              <w:lang w:val="el-GR"/>
            </w:rPr>
            <w:t xml:space="preserve"> | </w:t>
          </w:r>
          <w:r w:rsidRPr="006B5E1E">
            <w:rPr>
              <w:rFonts w:ascii="Arial" w:hAnsi="Arial" w:cs="Arial"/>
              <w:sz w:val="14"/>
              <w:lang w:val="el-GR"/>
            </w:rPr>
            <w:t xml:space="preserve"> </w:t>
          </w:r>
          <w:hyperlink r:id="rId2" w:history="1">
            <w:r w:rsidRPr="00E06524">
              <w:rPr>
                <w:rStyle w:val="Hyperlink"/>
                <w:rFonts w:ascii="Arial" w:hAnsi="Arial" w:cs="Arial"/>
                <w:sz w:val="14"/>
                <w:lang w:val="en-US"/>
              </w:rPr>
              <w:t>www</w:t>
            </w:r>
            <w:r w:rsidRPr="006B5E1E">
              <w:rPr>
                <w:rStyle w:val="Hyperlink"/>
                <w:rFonts w:ascii="Arial" w:hAnsi="Arial" w:cs="Arial"/>
                <w:sz w:val="14"/>
                <w:lang w:val="el-GR"/>
              </w:rPr>
              <w:t>.</w:t>
            </w:r>
            <w:r w:rsidRPr="00E06524">
              <w:rPr>
                <w:rStyle w:val="Hyperlink"/>
                <w:rFonts w:ascii="Arial" w:hAnsi="Arial" w:cs="Arial"/>
                <w:sz w:val="14"/>
                <w:lang w:val="en-US"/>
              </w:rPr>
              <w:t>bankofgreece</w:t>
            </w:r>
            <w:r w:rsidRPr="006B5E1E">
              <w:rPr>
                <w:rStyle w:val="Hyperlink"/>
                <w:rFonts w:ascii="Arial" w:hAnsi="Arial" w:cs="Arial"/>
                <w:sz w:val="14"/>
                <w:lang w:val="el-GR"/>
              </w:rPr>
              <w:t>.</w:t>
            </w:r>
            <w:r w:rsidRPr="00E06524">
              <w:rPr>
                <w:rStyle w:val="Hyperlink"/>
                <w:rFonts w:ascii="Arial" w:hAnsi="Arial" w:cs="Arial"/>
                <w:sz w:val="14"/>
                <w:lang w:val="en-US"/>
              </w:rPr>
              <w:t>gr</w:t>
            </w:r>
          </w:hyperlink>
          <w:r w:rsidRPr="006B5E1E">
            <w:rPr>
              <w:rFonts w:ascii="Arial" w:hAnsi="Arial" w:cs="Arial"/>
              <w:sz w:val="14"/>
              <w:lang w:val="el-GR"/>
            </w:rPr>
            <w:t xml:space="preserve"> </w:t>
          </w:r>
        </w:p>
      </w:tc>
      <w:tc>
        <w:tcPr>
          <w:tcW w:w="4581" w:type="dxa"/>
        </w:tcPr>
        <w:p w14:paraId="06987A5C" w14:textId="77777777" w:rsidR="00846D41" w:rsidRPr="00184CB0" w:rsidRDefault="00846D41" w:rsidP="00846D41">
          <w:pPr>
            <w:pStyle w:val="Footer"/>
            <w:tabs>
              <w:tab w:val="left" w:pos="5220"/>
            </w:tabs>
            <w:spacing w:before="60" w:after="60"/>
            <w:jc w:val="right"/>
            <w:rPr>
              <w:rFonts w:ascii="Arial" w:hAnsi="Arial" w:cs="Arial"/>
              <w:color w:val="auto"/>
              <w:sz w:val="14"/>
              <w:lang w:val="el-GR"/>
            </w:rPr>
          </w:pPr>
          <w:r w:rsidRPr="006F37D0">
            <w:rPr>
              <w:rFonts w:ascii="Arial" w:hAnsi="Arial" w:cs="Arial"/>
              <w:color w:val="auto"/>
              <w:sz w:val="18"/>
              <w:lang w:val="en-US"/>
            </w:rPr>
            <w:fldChar w:fldCharType="begin"/>
          </w:r>
          <w:r w:rsidRPr="006F37D0">
            <w:rPr>
              <w:rFonts w:ascii="Arial" w:hAnsi="Arial" w:cs="Arial"/>
              <w:color w:val="auto"/>
              <w:sz w:val="18"/>
              <w:lang w:val="en-US"/>
            </w:rPr>
            <w:instrText xml:space="preserve"> PAGE   \* MERGEFORMAT </w:instrText>
          </w:r>
          <w:r w:rsidRPr="006F37D0">
            <w:rPr>
              <w:rFonts w:ascii="Arial" w:hAnsi="Arial" w:cs="Arial"/>
              <w:color w:val="auto"/>
              <w:sz w:val="18"/>
              <w:lang w:val="en-US"/>
            </w:rPr>
            <w:fldChar w:fldCharType="separate"/>
          </w:r>
          <w:r>
            <w:rPr>
              <w:rFonts w:ascii="Arial" w:hAnsi="Arial" w:cs="Arial"/>
              <w:noProof/>
              <w:color w:val="auto"/>
              <w:sz w:val="18"/>
              <w:lang w:val="en-US"/>
            </w:rPr>
            <w:t>1</w:t>
          </w:r>
          <w:r w:rsidRPr="006F37D0">
            <w:rPr>
              <w:rFonts w:ascii="Arial" w:hAnsi="Arial" w:cs="Arial"/>
              <w:noProof/>
              <w:color w:val="auto"/>
              <w:sz w:val="18"/>
              <w:lang w:val="en-US"/>
            </w:rPr>
            <w:fldChar w:fldCharType="end"/>
          </w:r>
          <w:r>
            <w:rPr>
              <w:rFonts w:ascii="Arial" w:hAnsi="Arial" w:cs="Arial"/>
              <w:noProof/>
              <w:color w:val="auto"/>
              <w:sz w:val="18"/>
              <w:lang w:val="el-GR"/>
            </w:rPr>
            <w:t xml:space="preserve"> </w:t>
          </w:r>
          <w:r w:rsidRPr="00D929F5">
            <w:rPr>
              <w:rFonts w:ascii="Arial Black" w:hAnsi="Arial Black" w:cs="Arial"/>
              <w:b/>
              <w:noProof/>
              <w:color w:val="948A54"/>
              <w:sz w:val="22"/>
              <w:lang w:val="el-GR"/>
            </w:rPr>
            <w:t>|</w:t>
          </w:r>
        </w:p>
      </w:tc>
    </w:tr>
  </w:tbl>
  <w:p w14:paraId="1E2B9F60" w14:textId="77777777" w:rsidR="00846D41" w:rsidRDefault="00846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C4DAD" w14:textId="77777777" w:rsidR="00167A09" w:rsidRDefault="00167A09">
      <w:r>
        <w:separator/>
      </w:r>
    </w:p>
  </w:footnote>
  <w:footnote w:type="continuationSeparator" w:id="0">
    <w:p w14:paraId="351B852B" w14:textId="77777777" w:rsidR="00167A09" w:rsidRDefault="00167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288A"/>
    <w:multiLevelType w:val="hybridMultilevel"/>
    <w:tmpl w:val="06704BC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DD161CE"/>
    <w:multiLevelType w:val="hybridMultilevel"/>
    <w:tmpl w:val="CC542B5E"/>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 w15:restartNumberingAfterBreak="0">
    <w:nsid w:val="3E0D3870"/>
    <w:multiLevelType w:val="hybridMultilevel"/>
    <w:tmpl w:val="A76EC402"/>
    <w:lvl w:ilvl="0" w:tplc="254679C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D1606F"/>
    <w:multiLevelType w:val="hybridMultilevel"/>
    <w:tmpl w:val="B5B20C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BC37F4D"/>
    <w:multiLevelType w:val="hybridMultilevel"/>
    <w:tmpl w:val="E4D8B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BF2294D"/>
    <w:multiLevelType w:val="hybridMultilevel"/>
    <w:tmpl w:val="0C0ED2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B3C082B"/>
    <w:multiLevelType w:val="hybridMultilevel"/>
    <w:tmpl w:val="3488B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03949944">
    <w:abstractNumId w:val="3"/>
  </w:num>
  <w:num w:numId="2" w16cid:durableId="566719705">
    <w:abstractNumId w:val="6"/>
  </w:num>
  <w:num w:numId="3" w16cid:durableId="1078333721">
    <w:abstractNumId w:val="4"/>
  </w:num>
  <w:num w:numId="4" w16cid:durableId="58673980">
    <w:abstractNumId w:val="1"/>
  </w:num>
  <w:num w:numId="5" w16cid:durableId="1249802675">
    <w:abstractNumId w:val="0"/>
  </w:num>
  <w:num w:numId="6" w16cid:durableId="1239829033">
    <w:abstractNumId w:val="5"/>
  </w:num>
  <w:num w:numId="7" w16cid:durableId="768356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04A"/>
    <w:rsid w:val="00022F02"/>
    <w:rsid w:val="000272CF"/>
    <w:rsid w:val="00037147"/>
    <w:rsid w:val="00044C8F"/>
    <w:rsid w:val="00045338"/>
    <w:rsid w:val="0007074B"/>
    <w:rsid w:val="00073219"/>
    <w:rsid w:val="000A288F"/>
    <w:rsid w:val="000A304A"/>
    <w:rsid w:val="000A4140"/>
    <w:rsid w:val="000A5141"/>
    <w:rsid w:val="000A6028"/>
    <w:rsid w:val="000C32E3"/>
    <w:rsid w:val="000C46DD"/>
    <w:rsid w:val="000C5182"/>
    <w:rsid w:val="000D0221"/>
    <w:rsid w:val="000D1A19"/>
    <w:rsid w:val="000D3A15"/>
    <w:rsid w:val="000D5526"/>
    <w:rsid w:val="000E347F"/>
    <w:rsid w:val="000F7419"/>
    <w:rsid w:val="0010083B"/>
    <w:rsid w:val="00167A09"/>
    <w:rsid w:val="00180F26"/>
    <w:rsid w:val="00183895"/>
    <w:rsid w:val="00184CB0"/>
    <w:rsid w:val="00185971"/>
    <w:rsid w:val="0019445C"/>
    <w:rsid w:val="0019776D"/>
    <w:rsid w:val="001A04FD"/>
    <w:rsid w:val="001A37A9"/>
    <w:rsid w:val="001A4D11"/>
    <w:rsid w:val="001A759A"/>
    <w:rsid w:val="001C1BDE"/>
    <w:rsid w:val="001E3BEA"/>
    <w:rsid w:val="001E6951"/>
    <w:rsid w:val="001F0CF2"/>
    <w:rsid w:val="00201E7D"/>
    <w:rsid w:val="00202559"/>
    <w:rsid w:val="00202FDB"/>
    <w:rsid w:val="00207C8D"/>
    <w:rsid w:val="002101EB"/>
    <w:rsid w:val="00227116"/>
    <w:rsid w:val="002435A1"/>
    <w:rsid w:val="00246066"/>
    <w:rsid w:val="00260190"/>
    <w:rsid w:val="00270D07"/>
    <w:rsid w:val="002A2D24"/>
    <w:rsid w:val="002A3590"/>
    <w:rsid w:val="002B5FB8"/>
    <w:rsid w:val="002C168A"/>
    <w:rsid w:val="002C7892"/>
    <w:rsid w:val="002D3F97"/>
    <w:rsid w:val="002E3886"/>
    <w:rsid w:val="00302264"/>
    <w:rsid w:val="00313191"/>
    <w:rsid w:val="00320888"/>
    <w:rsid w:val="00325A6F"/>
    <w:rsid w:val="00333E5C"/>
    <w:rsid w:val="00336459"/>
    <w:rsid w:val="00340C76"/>
    <w:rsid w:val="003454F8"/>
    <w:rsid w:val="0034678E"/>
    <w:rsid w:val="00355259"/>
    <w:rsid w:val="00357937"/>
    <w:rsid w:val="003611EF"/>
    <w:rsid w:val="00361374"/>
    <w:rsid w:val="003636A6"/>
    <w:rsid w:val="0036732C"/>
    <w:rsid w:val="00370A65"/>
    <w:rsid w:val="0037238A"/>
    <w:rsid w:val="003739F8"/>
    <w:rsid w:val="00375D2B"/>
    <w:rsid w:val="00385AAE"/>
    <w:rsid w:val="003874C8"/>
    <w:rsid w:val="003877F1"/>
    <w:rsid w:val="00397328"/>
    <w:rsid w:val="003A245D"/>
    <w:rsid w:val="003A4A4F"/>
    <w:rsid w:val="003B3773"/>
    <w:rsid w:val="003C3284"/>
    <w:rsid w:val="003C3AA5"/>
    <w:rsid w:val="003D6F4B"/>
    <w:rsid w:val="003E11F9"/>
    <w:rsid w:val="00406D19"/>
    <w:rsid w:val="00414884"/>
    <w:rsid w:val="00417ED3"/>
    <w:rsid w:val="00422D68"/>
    <w:rsid w:val="004341F8"/>
    <w:rsid w:val="0043621F"/>
    <w:rsid w:val="00443B6C"/>
    <w:rsid w:val="00453C47"/>
    <w:rsid w:val="0046071D"/>
    <w:rsid w:val="00463F9F"/>
    <w:rsid w:val="00464C3A"/>
    <w:rsid w:val="00466134"/>
    <w:rsid w:val="00483018"/>
    <w:rsid w:val="00491524"/>
    <w:rsid w:val="00497CD2"/>
    <w:rsid w:val="004A549E"/>
    <w:rsid w:val="004A59BA"/>
    <w:rsid w:val="004B79B4"/>
    <w:rsid w:val="004C30E9"/>
    <w:rsid w:val="004C6096"/>
    <w:rsid w:val="004D63E0"/>
    <w:rsid w:val="004D7D32"/>
    <w:rsid w:val="004F52A9"/>
    <w:rsid w:val="00515766"/>
    <w:rsid w:val="0053006D"/>
    <w:rsid w:val="00530DAA"/>
    <w:rsid w:val="00532D50"/>
    <w:rsid w:val="00533BA6"/>
    <w:rsid w:val="0054190C"/>
    <w:rsid w:val="00542108"/>
    <w:rsid w:val="00553F6C"/>
    <w:rsid w:val="00564CE7"/>
    <w:rsid w:val="00572D5B"/>
    <w:rsid w:val="00584A58"/>
    <w:rsid w:val="005863E4"/>
    <w:rsid w:val="00586BA9"/>
    <w:rsid w:val="00591679"/>
    <w:rsid w:val="00593A10"/>
    <w:rsid w:val="005B1F16"/>
    <w:rsid w:val="005B5CFE"/>
    <w:rsid w:val="005C059A"/>
    <w:rsid w:val="005C0C4E"/>
    <w:rsid w:val="005C0CDA"/>
    <w:rsid w:val="005E078D"/>
    <w:rsid w:val="005E2B89"/>
    <w:rsid w:val="005F2746"/>
    <w:rsid w:val="005F43AD"/>
    <w:rsid w:val="005F7BE2"/>
    <w:rsid w:val="00604D0C"/>
    <w:rsid w:val="00606096"/>
    <w:rsid w:val="00606E2F"/>
    <w:rsid w:val="00613160"/>
    <w:rsid w:val="00614A99"/>
    <w:rsid w:val="00617823"/>
    <w:rsid w:val="00627512"/>
    <w:rsid w:val="00627DC6"/>
    <w:rsid w:val="0064172A"/>
    <w:rsid w:val="006418EF"/>
    <w:rsid w:val="006542A4"/>
    <w:rsid w:val="00656C46"/>
    <w:rsid w:val="00677754"/>
    <w:rsid w:val="0068377E"/>
    <w:rsid w:val="0068536A"/>
    <w:rsid w:val="006901E8"/>
    <w:rsid w:val="006932B9"/>
    <w:rsid w:val="0069557D"/>
    <w:rsid w:val="006A2DD2"/>
    <w:rsid w:val="006B5E1E"/>
    <w:rsid w:val="006D07A5"/>
    <w:rsid w:val="006D2AC6"/>
    <w:rsid w:val="006D3D1E"/>
    <w:rsid w:val="006E387E"/>
    <w:rsid w:val="006E4337"/>
    <w:rsid w:val="006F37D0"/>
    <w:rsid w:val="007003DE"/>
    <w:rsid w:val="00712283"/>
    <w:rsid w:val="00714EDE"/>
    <w:rsid w:val="0073051C"/>
    <w:rsid w:val="00730ACE"/>
    <w:rsid w:val="007354F4"/>
    <w:rsid w:val="0073681A"/>
    <w:rsid w:val="0074387F"/>
    <w:rsid w:val="00750403"/>
    <w:rsid w:val="00755A38"/>
    <w:rsid w:val="00764C47"/>
    <w:rsid w:val="00766A4F"/>
    <w:rsid w:val="007736AF"/>
    <w:rsid w:val="00776A9E"/>
    <w:rsid w:val="007874D4"/>
    <w:rsid w:val="00790999"/>
    <w:rsid w:val="00794D78"/>
    <w:rsid w:val="007A0D33"/>
    <w:rsid w:val="007C0704"/>
    <w:rsid w:val="007C4A55"/>
    <w:rsid w:val="007C6FC4"/>
    <w:rsid w:val="007C7957"/>
    <w:rsid w:val="007D4426"/>
    <w:rsid w:val="008116CE"/>
    <w:rsid w:val="00816456"/>
    <w:rsid w:val="00817F3B"/>
    <w:rsid w:val="008221AA"/>
    <w:rsid w:val="00824A41"/>
    <w:rsid w:val="00832116"/>
    <w:rsid w:val="00833611"/>
    <w:rsid w:val="00837AC2"/>
    <w:rsid w:val="00845FB3"/>
    <w:rsid w:val="00846D41"/>
    <w:rsid w:val="00853EC0"/>
    <w:rsid w:val="00855C86"/>
    <w:rsid w:val="0085688E"/>
    <w:rsid w:val="00863881"/>
    <w:rsid w:val="00864DCC"/>
    <w:rsid w:val="00873049"/>
    <w:rsid w:val="00894070"/>
    <w:rsid w:val="008A443F"/>
    <w:rsid w:val="008B0419"/>
    <w:rsid w:val="008B09DB"/>
    <w:rsid w:val="008B3C40"/>
    <w:rsid w:val="008B5AA3"/>
    <w:rsid w:val="008B61C2"/>
    <w:rsid w:val="008D28E5"/>
    <w:rsid w:val="008E7AC5"/>
    <w:rsid w:val="00900E3D"/>
    <w:rsid w:val="0090628A"/>
    <w:rsid w:val="00906441"/>
    <w:rsid w:val="009165DB"/>
    <w:rsid w:val="00935044"/>
    <w:rsid w:val="009418D5"/>
    <w:rsid w:val="00953005"/>
    <w:rsid w:val="00957998"/>
    <w:rsid w:val="009650DB"/>
    <w:rsid w:val="00971D89"/>
    <w:rsid w:val="009754E4"/>
    <w:rsid w:val="009819E1"/>
    <w:rsid w:val="009917B1"/>
    <w:rsid w:val="009C19AD"/>
    <w:rsid w:val="009C3187"/>
    <w:rsid w:val="009C7987"/>
    <w:rsid w:val="009F46C4"/>
    <w:rsid w:val="009F7340"/>
    <w:rsid w:val="00A03640"/>
    <w:rsid w:val="00A044CC"/>
    <w:rsid w:val="00A20EFB"/>
    <w:rsid w:val="00A23D53"/>
    <w:rsid w:val="00A32C78"/>
    <w:rsid w:val="00A35D8D"/>
    <w:rsid w:val="00A36154"/>
    <w:rsid w:val="00A43B8F"/>
    <w:rsid w:val="00A56BA1"/>
    <w:rsid w:val="00A579CF"/>
    <w:rsid w:val="00A66246"/>
    <w:rsid w:val="00A677F1"/>
    <w:rsid w:val="00A730BF"/>
    <w:rsid w:val="00A74FE3"/>
    <w:rsid w:val="00A77BD7"/>
    <w:rsid w:val="00A80EF5"/>
    <w:rsid w:val="00A84AED"/>
    <w:rsid w:val="00A92784"/>
    <w:rsid w:val="00A9634B"/>
    <w:rsid w:val="00A97804"/>
    <w:rsid w:val="00AA47C4"/>
    <w:rsid w:val="00AB2233"/>
    <w:rsid w:val="00AB4182"/>
    <w:rsid w:val="00AC176B"/>
    <w:rsid w:val="00AC7C78"/>
    <w:rsid w:val="00AD0439"/>
    <w:rsid w:val="00AD0AA4"/>
    <w:rsid w:val="00AD5E60"/>
    <w:rsid w:val="00AF030E"/>
    <w:rsid w:val="00AF0C3C"/>
    <w:rsid w:val="00B062B8"/>
    <w:rsid w:val="00B06DAC"/>
    <w:rsid w:val="00B1198C"/>
    <w:rsid w:val="00B145EC"/>
    <w:rsid w:val="00B2022F"/>
    <w:rsid w:val="00B220DD"/>
    <w:rsid w:val="00B30105"/>
    <w:rsid w:val="00B4079D"/>
    <w:rsid w:val="00B4717A"/>
    <w:rsid w:val="00B54C1B"/>
    <w:rsid w:val="00B60D05"/>
    <w:rsid w:val="00B715B1"/>
    <w:rsid w:val="00B81B76"/>
    <w:rsid w:val="00B936D5"/>
    <w:rsid w:val="00BB6505"/>
    <w:rsid w:val="00BB6E79"/>
    <w:rsid w:val="00BD3FA3"/>
    <w:rsid w:val="00BD61FB"/>
    <w:rsid w:val="00BE0C25"/>
    <w:rsid w:val="00BE1DCA"/>
    <w:rsid w:val="00BE3603"/>
    <w:rsid w:val="00BE3DFD"/>
    <w:rsid w:val="00BF6659"/>
    <w:rsid w:val="00C10DFC"/>
    <w:rsid w:val="00C208C4"/>
    <w:rsid w:val="00C25ACA"/>
    <w:rsid w:val="00C262F4"/>
    <w:rsid w:val="00C31FB5"/>
    <w:rsid w:val="00C32E24"/>
    <w:rsid w:val="00C37889"/>
    <w:rsid w:val="00C445D6"/>
    <w:rsid w:val="00C45DC4"/>
    <w:rsid w:val="00C65155"/>
    <w:rsid w:val="00C67EF4"/>
    <w:rsid w:val="00C711D6"/>
    <w:rsid w:val="00C81DEF"/>
    <w:rsid w:val="00C838F1"/>
    <w:rsid w:val="00C86D6D"/>
    <w:rsid w:val="00C93F50"/>
    <w:rsid w:val="00CB1EAE"/>
    <w:rsid w:val="00CB276A"/>
    <w:rsid w:val="00CC1A3F"/>
    <w:rsid w:val="00CD0977"/>
    <w:rsid w:val="00CD0C4F"/>
    <w:rsid w:val="00CD38FC"/>
    <w:rsid w:val="00CD447E"/>
    <w:rsid w:val="00CD7F6A"/>
    <w:rsid w:val="00CE6F7B"/>
    <w:rsid w:val="00CF7810"/>
    <w:rsid w:val="00D11214"/>
    <w:rsid w:val="00D12A14"/>
    <w:rsid w:val="00D14D8A"/>
    <w:rsid w:val="00D151BD"/>
    <w:rsid w:val="00D15299"/>
    <w:rsid w:val="00D25276"/>
    <w:rsid w:val="00D25705"/>
    <w:rsid w:val="00D267A8"/>
    <w:rsid w:val="00D3267F"/>
    <w:rsid w:val="00D335BE"/>
    <w:rsid w:val="00D34A42"/>
    <w:rsid w:val="00D356CE"/>
    <w:rsid w:val="00D42593"/>
    <w:rsid w:val="00D427C5"/>
    <w:rsid w:val="00D64797"/>
    <w:rsid w:val="00D64C28"/>
    <w:rsid w:val="00D7720D"/>
    <w:rsid w:val="00D929F5"/>
    <w:rsid w:val="00D94BCD"/>
    <w:rsid w:val="00D97783"/>
    <w:rsid w:val="00DA2653"/>
    <w:rsid w:val="00DB215C"/>
    <w:rsid w:val="00DB27E9"/>
    <w:rsid w:val="00DB6917"/>
    <w:rsid w:val="00DD1ECD"/>
    <w:rsid w:val="00E0693A"/>
    <w:rsid w:val="00E07095"/>
    <w:rsid w:val="00E10ED7"/>
    <w:rsid w:val="00E1325F"/>
    <w:rsid w:val="00E1556A"/>
    <w:rsid w:val="00E16153"/>
    <w:rsid w:val="00E22552"/>
    <w:rsid w:val="00E23A6E"/>
    <w:rsid w:val="00E2700F"/>
    <w:rsid w:val="00E32F8E"/>
    <w:rsid w:val="00E44983"/>
    <w:rsid w:val="00E449B2"/>
    <w:rsid w:val="00E50889"/>
    <w:rsid w:val="00E72767"/>
    <w:rsid w:val="00E73AEB"/>
    <w:rsid w:val="00E93810"/>
    <w:rsid w:val="00EC4013"/>
    <w:rsid w:val="00ED7E68"/>
    <w:rsid w:val="00EE0432"/>
    <w:rsid w:val="00EE1EB3"/>
    <w:rsid w:val="00F07246"/>
    <w:rsid w:val="00F07FD7"/>
    <w:rsid w:val="00F25B96"/>
    <w:rsid w:val="00F26854"/>
    <w:rsid w:val="00F27A63"/>
    <w:rsid w:val="00F3065E"/>
    <w:rsid w:val="00F34A62"/>
    <w:rsid w:val="00F403D6"/>
    <w:rsid w:val="00F42066"/>
    <w:rsid w:val="00F425A6"/>
    <w:rsid w:val="00F5007A"/>
    <w:rsid w:val="00F55107"/>
    <w:rsid w:val="00F57FE6"/>
    <w:rsid w:val="00F67B7B"/>
    <w:rsid w:val="00F7391F"/>
    <w:rsid w:val="00F82562"/>
    <w:rsid w:val="00F86045"/>
    <w:rsid w:val="00F957D8"/>
    <w:rsid w:val="00F970AF"/>
    <w:rsid w:val="00FA4464"/>
    <w:rsid w:val="00FA7855"/>
    <w:rsid w:val="00FB6324"/>
    <w:rsid w:val="00FD2E4F"/>
    <w:rsid w:val="00FD317F"/>
    <w:rsid w:val="00FE3F5E"/>
    <w:rsid w:val="00FE59FF"/>
    <w:rsid w:val="00FF5D14"/>
    <w:rsid w:val="00FF6A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E39702F"/>
  <w15:chartTrackingRefBased/>
  <w15:docId w15:val="{FE2F8550-0A63-4B89-B528-07EB2BA5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sz w:val="24"/>
      <w:lang w:val="en-AU"/>
    </w:rPr>
  </w:style>
  <w:style w:type="paragraph" w:styleId="Heading1">
    <w:name w:val="heading 1"/>
    <w:basedOn w:val="Normal"/>
    <w:next w:val="Normal"/>
    <w:qFormat/>
    <w:pPr>
      <w:keepNext/>
      <w:spacing w:line="360" w:lineRule="auto"/>
      <w:ind w:firstLine="720"/>
      <w:jc w:val="both"/>
      <w:outlineLvl w:val="0"/>
    </w:pPr>
    <w:rPr>
      <w:i/>
      <w:sz w:val="22"/>
      <w:u w:val="single"/>
      <w:lang w:val="el-GR"/>
    </w:rPr>
  </w:style>
  <w:style w:type="paragraph" w:styleId="Heading6">
    <w:name w:val="heading 6"/>
    <w:basedOn w:val="Normal"/>
    <w:next w:val="Normal"/>
    <w:qFormat/>
    <w:pPr>
      <w:keepNext/>
      <w:spacing w:line="360" w:lineRule="auto"/>
      <w:ind w:left="851" w:right="340"/>
      <w:jc w:val="both"/>
      <w:outlineLvl w:val="5"/>
    </w:pPr>
    <w:rPr>
      <w:i/>
      <w:sz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paragraph" w:styleId="Footer">
    <w:name w:val="footer"/>
    <w:basedOn w:val="Normal"/>
    <w:link w:val="FooterChar"/>
    <w:uiPriority w:val="99"/>
    <w:pPr>
      <w:tabs>
        <w:tab w:val="center" w:pos="4153"/>
        <w:tab w:val="right" w:pos="8306"/>
      </w:tabs>
    </w:pPr>
    <w:rPr>
      <w:rFonts w:ascii="Times New Roman" w:hAnsi="Times New Roman" w:cs="Times New Roman"/>
      <w:lang w:val="en-GB"/>
    </w:rPr>
  </w:style>
  <w:style w:type="paragraph" w:styleId="CommentText">
    <w:name w:val="annotation text"/>
    <w:basedOn w:val="Normal"/>
    <w:rPr>
      <w:sz w:val="20"/>
    </w:rPr>
  </w:style>
  <w:style w:type="paragraph" w:styleId="DocumentMap">
    <w:name w:val="Document Map"/>
    <w:basedOn w:val="Normal"/>
    <w:pPr>
      <w:shd w:val="clear" w:color="000000" w:fill="00007F"/>
    </w:pPr>
    <w:rPr>
      <w:rFonts w:ascii="Tahoma" w:hAnsi="Tahoma" w:cs="Tahoma"/>
      <w:sz w:val="20"/>
    </w:rPr>
  </w:style>
  <w:style w:type="paragraph" w:styleId="FootnoteText">
    <w:name w:val="footnote text"/>
    <w:basedOn w:val="Normal"/>
    <w:rPr>
      <w:rFonts w:ascii="Times New Roman" w:hAnsi="Times New Roman" w:cs="Times New Roman"/>
      <w:sz w:val="20"/>
      <w:lang w:eastAsia="en-US"/>
    </w:rPr>
  </w:style>
  <w:style w:type="paragraph" w:styleId="BodyText">
    <w:name w:val="Body Text"/>
    <w:basedOn w:val="Normal"/>
    <w:pPr>
      <w:jc w:val="both"/>
    </w:pPr>
    <w:rPr>
      <w:rFonts w:ascii="Times New Roman" w:hAnsi="Times New Roman" w:cs="Times New Roman"/>
      <w:lang w:val="el-GR"/>
    </w:rPr>
  </w:style>
  <w:style w:type="paragraph" w:styleId="CommentSubject">
    <w:name w:val="annotation subject"/>
    <w:basedOn w:val="CommentText"/>
    <w:next w:val="CommentText"/>
    <w:rPr>
      <w:b/>
    </w:rPr>
  </w:style>
  <w:style w:type="paragraph" w:styleId="NormalWeb">
    <w:name w:val="Normal (Web)"/>
    <w:basedOn w:val="Normal"/>
    <w:pPr>
      <w:spacing w:before="100" w:beforeAutospacing="1" w:after="100" w:afterAutospacing="1"/>
    </w:pPr>
    <w:rPr>
      <w:rFonts w:ascii="Times New Roman" w:hAnsi="Times New Roman" w:cs="Times New Roman"/>
      <w:szCs w:val="24"/>
      <w:lang w:val="el-GR"/>
    </w:rPr>
  </w:style>
  <w:style w:type="paragraph" w:styleId="Header">
    <w:name w:val="header"/>
    <w:basedOn w:val="Normal"/>
    <w:pPr>
      <w:tabs>
        <w:tab w:val="center" w:pos="4153"/>
        <w:tab w:val="right" w:pos="8306"/>
      </w:tabs>
    </w:pPr>
  </w:style>
  <w:style w:type="paragraph" w:customStyle="1" w:styleId="Revision1">
    <w:name w:val="Revision1"/>
    <w:rPr>
      <w:rFonts w:ascii="Arial" w:hAnsi="Arial" w:cs="Arial"/>
      <w:color w:val="000000"/>
      <w:sz w:val="24"/>
      <w:lang w:val="en-AU"/>
    </w:rPr>
  </w:style>
  <w:style w:type="paragraph" w:styleId="EndnoteText">
    <w:name w:val="endnote text"/>
    <w:basedOn w:val="Normal"/>
    <w:rPr>
      <w:sz w:val="20"/>
    </w:rPr>
  </w:style>
  <w:style w:type="character" w:styleId="PageNumber">
    <w:name w:val="page number"/>
    <w:basedOn w:val="DefaultParagraphFont"/>
  </w:style>
  <w:style w:type="character" w:styleId="Emphasis">
    <w:name w:val="Emphasis"/>
    <w:qFormat/>
    <w:rPr>
      <w:i/>
      <w:iCs w:val="0"/>
    </w:rPr>
  </w:style>
  <w:style w:type="character" w:customStyle="1" w:styleId="CommentSubjectChar">
    <w:name w:val="Comment Subject Char"/>
    <w:rPr>
      <w:rFonts w:ascii="Arial" w:hAnsi="Arial"/>
      <w:b/>
      <w:bCs w:val="0"/>
      <w:lang w:val="en-AU"/>
    </w:rPr>
  </w:style>
  <w:style w:type="character" w:customStyle="1" w:styleId="bog-bodytext1">
    <w:name w:val="bog-bodytext1"/>
    <w:rPr>
      <w:rFonts w:ascii="Tahoma" w:hAnsi="Tahoma" w:cs="Tahoma"/>
      <w:color w:val="000000"/>
      <w:sz w:val="18"/>
      <w:szCs w:val="18"/>
    </w:rPr>
  </w:style>
  <w:style w:type="character" w:customStyle="1" w:styleId="HeaderChar">
    <w:name w:val="Header Char"/>
    <w:rPr>
      <w:rFonts w:ascii="Arial" w:hAnsi="Arial"/>
      <w:sz w:val="24"/>
      <w:lang w:val="en-AU"/>
    </w:rPr>
  </w:style>
  <w:style w:type="character" w:customStyle="1" w:styleId="BodyTextChar">
    <w:name w:val="Body Text Char"/>
    <w:rPr>
      <w:sz w:val="24"/>
      <w:lang w:val="el-GR" w:eastAsia="el-GR" w:bidi="ar-SA"/>
    </w:rPr>
  </w:style>
  <w:style w:type="character" w:styleId="CommentReference">
    <w:name w:val="annotation reference"/>
    <w:rPr>
      <w:sz w:val="16"/>
      <w:szCs w:val="16"/>
    </w:rPr>
  </w:style>
  <w:style w:type="character" w:customStyle="1" w:styleId="FootnoteTextChar">
    <w:name w:val="Footnote Text Char"/>
    <w:rPr>
      <w:lang w:eastAsia="en-US"/>
    </w:rPr>
  </w:style>
  <w:style w:type="character" w:customStyle="1" w:styleId="BalloonTextChar">
    <w:name w:val="Balloon Text Char"/>
    <w:rPr>
      <w:rFonts w:ascii="Tahoma" w:hAnsi="Tahoma" w:cs="Tahoma"/>
      <w:sz w:val="16"/>
      <w:szCs w:val="16"/>
      <w:lang w:val="en-AU"/>
    </w:rPr>
  </w:style>
  <w:style w:type="character" w:customStyle="1" w:styleId="bog-bodytext">
    <w:name w:val="bog-bodytext"/>
    <w:basedOn w:val="DefaultParagraphFont"/>
  </w:style>
  <w:style w:type="character" w:styleId="FootnoteReference">
    <w:name w:val="footnote reference"/>
    <w:rPr>
      <w:position w:val="-2"/>
      <w:vertAlign w:val="superscript"/>
    </w:rPr>
  </w:style>
  <w:style w:type="character" w:customStyle="1" w:styleId="CommentTextChar">
    <w:name w:val="Comment Text Char"/>
    <w:rPr>
      <w:rFonts w:ascii="Arial" w:hAnsi="Arial"/>
      <w:lang w:val="en-AU"/>
    </w:rPr>
  </w:style>
  <w:style w:type="character" w:customStyle="1" w:styleId="apple-converted-space">
    <w:name w:val="apple-converted-space"/>
    <w:basedOn w:val="DefaultParagraphFont"/>
  </w:style>
  <w:style w:type="character" w:customStyle="1" w:styleId="EndnoteTextChar">
    <w:name w:val="Endnote Text Char"/>
    <w:rPr>
      <w:rFonts w:ascii="Arial" w:hAnsi="Arial"/>
      <w:lang w:val="en-AU" w:eastAsia="el-GR"/>
    </w:rPr>
  </w:style>
  <w:style w:type="character" w:styleId="EndnoteReference">
    <w:name w:val="endnote reference"/>
    <w:rPr>
      <w:position w:val="-2"/>
      <w:vertAlign w:val="superscript"/>
    </w:rPr>
  </w:style>
  <w:style w:type="table" w:styleId="TableGrid">
    <w:name w:val="Table Grid"/>
    <w:basedOn w:val="TableNormal"/>
    <w:uiPriority w:val="59"/>
    <w:rsid w:val="00C71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711D6"/>
    <w:rPr>
      <w:color w:val="0000FF"/>
      <w:u w:val="single"/>
    </w:rPr>
  </w:style>
  <w:style w:type="character" w:customStyle="1" w:styleId="FooterChar">
    <w:name w:val="Footer Char"/>
    <w:link w:val="Footer"/>
    <w:uiPriority w:val="99"/>
    <w:rsid w:val="00766A4F"/>
    <w:rPr>
      <w:color w:val="000000"/>
      <w:sz w:val="24"/>
      <w:lang w:val="en-GB"/>
    </w:rPr>
  </w:style>
  <w:style w:type="paragraph" w:styleId="ListParagraph">
    <w:name w:val="List Paragraph"/>
    <w:basedOn w:val="Normal"/>
    <w:uiPriority w:val="34"/>
    <w:qFormat/>
    <w:rsid w:val="007003DE"/>
    <w:pPr>
      <w:ind w:left="720"/>
      <w:contextualSpacing/>
    </w:pPr>
  </w:style>
  <w:style w:type="paragraph" w:customStyle="1" w:styleId="P68B1DB1-Normal2">
    <w:name w:val="P68B1DB1-Normal2"/>
    <w:basedOn w:val="Normal"/>
    <w:rsid w:val="000E347F"/>
    <w:rPr>
      <w:rFonts w:asciiTheme="majorHAnsi" w:hAnsiTheme="majorHAnsi" w:cstheme="minorHAnsi"/>
      <w:color w:val="auto"/>
      <w:sz w:val="28"/>
      <w:szCs w:val="28"/>
      <w:lang w:val="el"/>
    </w:rPr>
  </w:style>
  <w:style w:type="paragraph" w:customStyle="1" w:styleId="P68B1DB1-Normal3">
    <w:name w:val="P68B1DB1-Normal3"/>
    <w:basedOn w:val="Normal"/>
    <w:rsid w:val="000E347F"/>
    <w:rPr>
      <w:rFonts w:asciiTheme="majorHAnsi" w:hAnsiTheme="majorHAnsi" w:cstheme="minorHAnsi"/>
      <w:b/>
      <w:i/>
      <w:color w:val="auto"/>
      <w:sz w:val="28"/>
      <w:szCs w:val="28"/>
      <w:lang w:val="el"/>
    </w:rPr>
  </w:style>
  <w:style w:type="paragraph" w:customStyle="1" w:styleId="P68B1DB1-ListParagraph4">
    <w:name w:val="P68B1DB1-ListParagraph4"/>
    <w:basedOn w:val="ListParagraph"/>
    <w:rsid w:val="000E347F"/>
    <w:pPr>
      <w:contextualSpacing w:val="0"/>
    </w:pPr>
    <w:rPr>
      <w:rFonts w:asciiTheme="majorHAnsi" w:hAnsiTheme="majorHAnsi" w:cstheme="minorHAnsi"/>
      <w:color w:val="auto"/>
      <w:sz w:val="28"/>
      <w:szCs w:val="28"/>
      <w:lang w:val="el"/>
    </w:rPr>
  </w:style>
  <w:style w:type="paragraph" w:customStyle="1" w:styleId="P68B1DB1-Normal5">
    <w:name w:val="P68B1DB1-Normal5"/>
    <w:basedOn w:val="Normal"/>
    <w:rsid w:val="000E347F"/>
    <w:rPr>
      <w:rFonts w:asciiTheme="majorHAnsi" w:hAnsiTheme="majorHAnsi" w:cs="Times New Roman"/>
      <w:color w:val="auto"/>
      <w:sz w:val="28"/>
      <w:szCs w:val="28"/>
      <w:lang w:val="el"/>
    </w:rPr>
  </w:style>
  <w:style w:type="paragraph" w:customStyle="1" w:styleId="P68B1DB1-Normal6">
    <w:name w:val="P68B1DB1-Normal6"/>
    <w:basedOn w:val="Normal"/>
    <w:rsid w:val="000E347F"/>
    <w:rPr>
      <w:rFonts w:asciiTheme="majorHAnsi" w:hAnsiTheme="majorHAnsi" w:cs="Times New Roman"/>
      <w:b/>
      <w:i/>
      <w:color w:val="auto"/>
      <w:sz w:val="28"/>
      <w:szCs w:val="28"/>
      <w:lang w:val="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4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ankofgreece.gr" TargetMode="External"/><Relationship Id="rId1" Type="http://schemas.openxmlformats.org/officeDocument/2006/relationships/hyperlink" Target="mailto:press@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2457</Words>
  <Characters>14006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16431</CharactersWithSpaces>
  <SharedDoc>false</SharedDoc>
  <HLinks>
    <vt:vector size="18" baseType="variant">
      <vt:variant>
        <vt:i4>7667753</vt:i4>
      </vt:variant>
      <vt:variant>
        <vt:i4>0</vt:i4>
      </vt:variant>
      <vt:variant>
        <vt:i4>0</vt:i4>
      </vt:variant>
      <vt:variant>
        <vt:i4>5</vt:i4>
      </vt:variant>
      <vt:variant>
        <vt:lpwstr>http://www.bankofgreece.gr/</vt:lpwstr>
      </vt:variant>
      <vt:variant>
        <vt:lpwstr/>
      </vt:variant>
      <vt:variant>
        <vt:i4>7667753</vt:i4>
      </vt:variant>
      <vt:variant>
        <vt:i4>3</vt:i4>
      </vt:variant>
      <vt:variant>
        <vt:i4>0</vt:i4>
      </vt:variant>
      <vt:variant>
        <vt:i4>5</vt:i4>
      </vt:variant>
      <vt:variant>
        <vt:lpwstr>http://www.bankofgreece.gr/</vt:lpwstr>
      </vt:variant>
      <vt:variant>
        <vt:lpwstr/>
      </vt:variant>
      <vt:variant>
        <vt:i4>5898354</vt:i4>
      </vt:variant>
      <vt:variant>
        <vt:i4>0</vt:i4>
      </vt:variant>
      <vt:variant>
        <vt:i4>0</vt:i4>
      </vt:variant>
      <vt:variant>
        <vt:i4>5</vt:i4>
      </vt:variant>
      <vt:variant>
        <vt:lpwstr>mailto:press@bankofgreece.gr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Pantelis PA. Arsenis</dc:creator>
  <cp:keywords/>
  <cp:lastModifiedBy>Pantelis PA. Arsenis</cp:lastModifiedBy>
  <cp:revision>2</cp:revision>
  <dcterms:created xsi:type="dcterms:W3CDTF">2026-03-30T17:45:00Z</dcterms:created>
  <dcterms:modified xsi:type="dcterms:W3CDTF">2026-03-30T17:45:00Z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2025-11-04T13:04:16Z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bbc31528-3488-4c5f-b70b-6d8c8caf252a</vt:lpwstr>
  </property>
  <property fmtid="{D5CDD505-2E9C-101B-9397-08002B2CF9AE}" pid="8" name="MSIP_Label_2e64f240-1db5-4acf-9bde-572066689a31_ContentBits">
    <vt:lpwstr>0</vt:lpwstr>
  </property>
  <property fmtid="{D5CDD505-2E9C-101B-9397-08002B2CF9AE}" pid="9" name="MSIP_Label_2e64f240-1db5-4acf-9bde-572066689a31_Tag">
    <vt:lpwstr>10, 0, 1, 1</vt:lpwstr>
  </property>
</Properties>
</file>